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center"/>
        <w:rPr>
          <w:rFonts w:eastAsia="黑体" w:cs="宋体"/>
          <w:b/>
          <w:sz w:val="52"/>
          <w:szCs w:val="52"/>
        </w:rPr>
      </w:pPr>
    </w:p>
    <w:p>
      <w:pPr>
        <w:pageBreakBefore w:val="0"/>
        <w:kinsoku/>
        <w:wordWrap/>
        <w:overflowPunct/>
        <w:topLinePunct w:val="0"/>
        <w:bidi w:val="0"/>
        <w:spacing w:line="600" w:lineRule="exact"/>
        <w:jc w:val="left"/>
        <w:rPr>
          <w:rFonts w:ascii="黑体" w:hAnsi="黑体" w:eastAsia="黑体" w:cs="黑体"/>
          <w:b/>
          <w:bCs/>
          <w:sz w:val="32"/>
          <w:szCs w:val="32"/>
        </w:rPr>
      </w:pPr>
    </w:p>
    <w:p>
      <w:pPr>
        <w:pageBreakBefore w:val="0"/>
        <w:kinsoku/>
        <w:wordWrap/>
        <w:overflowPunct/>
        <w:topLinePunct w:val="0"/>
        <w:bidi w:val="0"/>
        <w:spacing w:line="600" w:lineRule="exact"/>
        <w:jc w:val="left"/>
        <w:rPr>
          <w:rFonts w:ascii="Arial" w:hAnsi="Arial" w:eastAsia="Symbol"/>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ascii="Arial" w:hAnsi="Arial" w:eastAsia="宋体"/>
          <w:b/>
          <w:bCs/>
          <w:sz w:val="32"/>
          <w:szCs w:val="32"/>
        </w:rPr>
      </w:pP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color w:val="auto"/>
          <w:sz w:val="44"/>
          <w:szCs w:val="44"/>
          <w:u w:val="none"/>
        </w:rPr>
      </w:pPr>
      <w:r>
        <w:rPr>
          <w:rFonts w:hint="eastAsia" w:ascii="Arial Unicode MS" w:hAnsi="Arial Unicode MS" w:eastAsia="Arial Unicode MS" w:cs="Arial Unicode MS"/>
          <w:b w:val="0"/>
          <w:bCs w:val="0"/>
          <w:sz w:val="44"/>
          <w:szCs w:val="44"/>
        </w:rPr>
        <w:t>202</w:t>
      </w:r>
      <w:r>
        <w:rPr>
          <w:rFonts w:hint="eastAsia" w:ascii="Arial Unicode MS" w:hAnsi="Arial Unicode MS" w:eastAsia="Arial Unicode MS" w:cs="Arial Unicode MS"/>
          <w:b w:val="0"/>
          <w:bCs w:val="0"/>
          <w:sz w:val="44"/>
          <w:szCs w:val="44"/>
          <w:lang w:val="en-US" w:eastAsia="zh-CN"/>
        </w:rPr>
        <w:t>4</w:t>
      </w:r>
      <w:r>
        <w:rPr>
          <w:rFonts w:hint="eastAsia" w:ascii="Arial Unicode MS" w:hAnsi="Arial Unicode MS" w:eastAsia="Arial Unicode MS" w:cs="Arial Unicode MS"/>
          <w:b w:val="0"/>
          <w:bCs w:val="0"/>
          <w:sz w:val="44"/>
          <w:szCs w:val="44"/>
        </w:rPr>
        <w:t>年度</w:t>
      </w:r>
      <w:r>
        <w:rPr>
          <w:rFonts w:hint="eastAsia" w:ascii="Arial Unicode MS" w:hAnsi="Arial Unicode MS" w:eastAsia="Arial Unicode MS" w:cs="Arial Unicode MS"/>
          <w:b w:val="0"/>
          <w:bCs w:val="0"/>
          <w:color w:val="auto"/>
          <w:sz w:val="44"/>
          <w:szCs w:val="44"/>
          <w:u w:val="none"/>
        </w:rPr>
        <w:t>锡林郭勒盟教育局</w:t>
      </w: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44"/>
          <w:szCs w:val="44"/>
        </w:rPr>
      </w:pPr>
      <w:r>
        <w:rPr>
          <w:rFonts w:hint="eastAsia" w:ascii="Arial Unicode MS" w:hAnsi="Arial Unicode MS" w:eastAsia="Arial Unicode MS" w:cs="Arial Unicode MS"/>
          <w:b w:val="0"/>
          <w:bCs w:val="0"/>
          <w:color w:val="auto"/>
          <w:sz w:val="44"/>
          <w:szCs w:val="44"/>
          <w:u w:val="none"/>
        </w:rPr>
        <w:t>综合保障中心</w:t>
      </w:r>
      <w:r>
        <w:rPr>
          <w:rFonts w:hint="eastAsia" w:ascii="Arial Unicode MS" w:hAnsi="Arial Unicode MS" w:eastAsia="Arial Unicode MS" w:cs="Arial Unicode MS"/>
          <w:b w:val="0"/>
          <w:bCs w:val="0"/>
          <w:sz w:val="44"/>
          <w:szCs w:val="44"/>
          <w:u w:val="none"/>
        </w:rPr>
        <w:t>单位</w:t>
      </w:r>
      <w:r>
        <w:rPr>
          <w:rFonts w:hint="eastAsia" w:ascii="Arial Unicode MS" w:hAnsi="Arial Unicode MS" w:eastAsia="Arial Unicode MS" w:cs="Arial Unicode MS"/>
          <w:b w:val="0"/>
          <w:bCs w:val="0"/>
          <w:sz w:val="44"/>
          <w:szCs w:val="44"/>
        </w:rPr>
        <w:t>预算公开</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rPr>
          <w:rFonts w:hint="eastAsia" w:ascii="黑体" w:hAnsi="黑体" w:eastAsia="黑体" w:cs="黑体"/>
          <w:sz w:val="32"/>
          <w:szCs w:val="32"/>
        </w:rPr>
      </w:pPr>
    </w:p>
    <w:p>
      <w:pPr>
        <w:pageBreakBefore w:val="0"/>
        <w:kinsoku/>
        <w:wordWrap/>
        <w:overflowPunct/>
        <w:topLinePunct w:val="0"/>
        <w:bidi w:val="0"/>
        <w:adjustRightInd w:val="0"/>
        <w:snapToGrid w:val="0"/>
        <w:spacing w:line="600" w:lineRule="exact"/>
        <w:jc w:val="center"/>
        <w:rPr>
          <w:rFonts w:ascii="黑体" w:hAnsi="黑体" w:eastAsia="黑体" w:cs="黑体"/>
          <w:sz w:val="32"/>
          <w:szCs w:val="32"/>
        </w:rPr>
      </w:pPr>
      <w:r>
        <w:rPr>
          <w:rFonts w:hint="eastAsia" w:ascii="黑体" w:hAnsi="黑体" w:eastAsia="黑体" w:cs="黑体"/>
          <w:sz w:val="32"/>
          <w:szCs w:val="32"/>
        </w:rPr>
        <w:t>批复时间：</w:t>
      </w:r>
      <w:r>
        <w:rPr>
          <w:rFonts w:hint="eastAsia" w:ascii="黑体" w:hAnsi="黑体" w:eastAsia="黑体" w:cs="黑体"/>
          <w:sz w:val="32"/>
          <w:szCs w:val="32"/>
          <w:u w:val="single"/>
          <w:lang w:val="en-US" w:eastAsia="zh-CN"/>
        </w:rPr>
        <w:t>2024</w:t>
      </w:r>
      <w:r>
        <w:rPr>
          <w:rFonts w:hint="eastAsia" w:ascii="黑体" w:hAnsi="黑体" w:eastAsia="黑体" w:cs="黑体"/>
          <w:sz w:val="32"/>
          <w:szCs w:val="32"/>
          <w:u w:val="single"/>
        </w:rPr>
        <w:t xml:space="preserve">年 </w:t>
      </w:r>
      <w:r>
        <w:rPr>
          <w:rFonts w:hint="eastAsia" w:ascii="黑体" w:hAnsi="黑体" w:eastAsia="黑体" w:cs="黑体"/>
          <w:sz w:val="32"/>
          <w:szCs w:val="32"/>
          <w:u w:val="single"/>
          <w:lang w:val="en-US" w:eastAsia="zh-CN"/>
        </w:rPr>
        <w:t>3</w:t>
      </w:r>
      <w:r>
        <w:rPr>
          <w:rFonts w:hint="eastAsia" w:ascii="黑体" w:hAnsi="黑体" w:eastAsia="黑体" w:cs="黑体"/>
          <w:sz w:val="32"/>
          <w:szCs w:val="32"/>
          <w:u w:val="single"/>
        </w:rPr>
        <w:t>月</w:t>
      </w:r>
      <w:r>
        <w:rPr>
          <w:rFonts w:hint="eastAsia" w:ascii="黑体" w:hAnsi="黑体" w:eastAsia="黑体" w:cs="黑体"/>
          <w:sz w:val="32"/>
          <w:szCs w:val="32"/>
          <w:u w:val="single"/>
          <w:lang w:val="en-US" w:eastAsia="zh-CN"/>
        </w:rPr>
        <w:t>8</w:t>
      </w:r>
      <w:r>
        <w:rPr>
          <w:rFonts w:hint="eastAsia" w:ascii="黑体" w:hAnsi="黑体" w:eastAsia="黑体" w:cs="黑体"/>
          <w:sz w:val="32"/>
          <w:szCs w:val="32"/>
          <w:u w:val="single"/>
        </w:rPr>
        <w:t>日</w:t>
      </w:r>
    </w:p>
    <w:p>
      <w:pPr>
        <w:pStyle w:val="18"/>
        <w:pageBreakBefore w:val="0"/>
        <w:kinsoku/>
        <w:wordWrap/>
        <w:overflowPunct/>
        <w:topLinePunct w:val="0"/>
        <w:bidi w:val="0"/>
        <w:spacing w:after="0" w:line="600" w:lineRule="exact"/>
        <w:ind w:left="0" w:leftChars="0" w:firstLine="0" w:firstLineChars="0"/>
        <w:jc w:val="center"/>
        <w:rPr>
          <w:rFonts w:hint="default" w:ascii="黑体" w:hAnsi="黑体" w:eastAsia="黑体" w:cs="黑体"/>
        </w:rPr>
      </w:pPr>
      <w:r>
        <w:rPr>
          <w:rFonts w:ascii="黑体" w:hAnsi="黑体" w:eastAsia="黑体" w:cs="黑体"/>
          <w:sz w:val="32"/>
          <w:szCs w:val="32"/>
        </w:rPr>
        <w:t>公开时间：</w:t>
      </w:r>
      <w:r>
        <w:rPr>
          <w:rFonts w:hint="eastAsia" w:ascii="黑体" w:hAnsi="黑体" w:eastAsia="黑体" w:cs="黑体"/>
          <w:sz w:val="32"/>
          <w:szCs w:val="32"/>
          <w:u w:val="single"/>
          <w:lang w:val="en-US" w:eastAsia="zh-CN"/>
        </w:rPr>
        <w:t>2024</w:t>
      </w:r>
      <w:r>
        <w:rPr>
          <w:rFonts w:ascii="黑体" w:hAnsi="黑体" w:eastAsia="黑体" w:cs="黑体"/>
          <w:sz w:val="32"/>
          <w:szCs w:val="32"/>
          <w:u w:val="single"/>
        </w:rPr>
        <w:t>年</w:t>
      </w:r>
      <w:r>
        <w:rPr>
          <w:rFonts w:hint="eastAsia" w:ascii="黑体" w:hAnsi="黑体" w:eastAsia="黑体" w:cs="黑体"/>
          <w:sz w:val="32"/>
          <w:szCs w:val="32"/>
          <w:u w:val="single"/>
          <w:lang w:val="en-US" w:eastAsia="zh-CN"/>
        </w:rPr>
        <w:t>3</w:t>
      </w:r>
      <w:r>
        <w:rPr>
          <w:rFonts w:ascii="黑体" w:hAnsi="黑体" w:eastAsia="黑体" w:cs="黑体"/>
          <w:sz w:val="32"/>
          <w:szCs w:val="32"/>
          <w:u w:val="single"/>
        </w:rPr>
        <w:t>月</w:t>
      </w:r>
      <w:r>
        <w:rPr>
          <w:rFonts w:hint="eastAsia" w:ascii="黑体" w:hAnsi="黑体" w:eastAsia="黑体" w:cs="黑体"/>
          <w:sz w:val="32"/>
          <w:szCs w:val="32"/>
          <w:u w:val="single"/>
          <w:lang w:val="en-US" w:eastAsia="zh-CN"/>
        </w:rPr>
        <w:t>15</w:t>
      </w:r>
      <w:r>
        <w:rPr>
          <w:rFonts w:ascii="黑体" w:hAnsi="黑体" w:eastAsia="黑体" w:cs="黑体"/>
          <w:sz w:val="32"/>
          <w:szCs w:val="32"/>
          <w:u w:val="single"/>
        </w:rPr>
        <w:t>日</w:t>
      </w: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ageBreakBefore w:val="0"/>
        <w:kinsoku/>
        <w:wordWrap/>
        <w:overflowPunct/>
        <w:topLinePunct w:val="0"/>
        <w:bidi w:val="0"/>
        <w:adjustRightInd w:val="0"/>
        <w:snapToGrid w:val="0"/>
        <w:spacing w:line="600" w:lineRule="exact"/>
        <w:ind w:firstLine="640"/>
        <w:rPr>
          <w:rFonts w:ascii="仿宋" w:hAnsi="仿宋" w:eastAsia="仿宋"/>
          <w:sz w:val="32"/>
          <w:szCs w:val="32"/>
        </w:rPr>
      </w:pPr>
    </w:p>
    <w:p>
      <w:pPr>
        <w:pStyle w:val="3"/>
        <w:pageBreakBefore w:val="0"/>
        <w:tabs>
          <w:tab w:val="left" w:pos="4533"/>
        </w:tabs>
        <w:kinsoku/>
        <w:wordWrap/>
        <w:overflowPunct/>
        <w:topLinePunct w:val="0"/>
        <w:bidi w:val="0"/>
        <w:spacing w:before="0" w:after="0" w:line="600" w:lineRule="exact"/>
        <w:ind w:firstLine="0" w:firstLineChars="0"/>
        <w:jc w:val="center"/>
        <w:rPr>
          <w:sz w:val="44"/>
          <w:szCs w:val="44"/>
        </w:rPr>
      </w:pPr>
      <w:r>
        <w:rPr>
          <w:sz w:val="44"/>
          <w:szCs w:val="44"/>
        </w:rPr>
        <w:t>目</w:t>
      </w:r>
      <w:r>
        <w:rPr>
          <w:rFonts w:hint="eastAsia" w:eastAsia="宋体"/>
          <w:sz w:val="44"/>
          <w:szCs w:val="44"/>
        </w:rPr>
        <w:t xml:space="preserve">  </w:t>
      </w:r>
      <w:r>
        <w:rPr>
          <w:rFonts w:hint="eastAsia"/>
          <w:sz w:val="44"/>
          <w:szCs w:val="44"/>
        </w:rPr>
        <w:t xml:space="preserve">  </w:t>
      </w:r>
      <w:r>
        <w:rPr>
          <w:sz w:val="44"/>
          <w:szCs w:val="44"/>
        </w:rPr>
        <w:t>录</w:t>
      </w:r>
    </w:p>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第一部分 部门（单位）概况</w:t>
      </w:r>
    </w:p>
    <w:p>
      <w:pPr>
        <w:pStyle w:val="8"/>
        <w:pageBreakBefore w:val="0"/>
        <w:kinsoku/>
        <w:wordWrap/>
        <w:overflowPunct/>
        <w:topLinePunct w:val="0"/>
        <w:bidi w:val="0"/>
        <w:spacing w:after="0" w:line="600" w:lineRule="exact"/>
        <w:rPr>
          <w:rFonts w:ascii="仿宋" w:hAnsi="仿宋" w:eastAsia="仿宋" w:cs="仿宋"/>
          <w:sz w:val="32"/>
          <w:szCs w:val="32"/>
          <w:highlight w:val="yellow"/>
        </w:rPr>
      </w:pPr>
      <w:r>
        <w:rPr>
          <w:rFonts w:hint="eastAsia" w:ascii="仿宋" w:hAnsi="仿宋" w:eastAsia="仿宋" w:cs="仿宋"/>
          <w:w w:val="95"/>
          <w:sz w:val="32"/>
          <w:szCs w:val="32"/>
        </w:rPr>
        <w:t>一、主要职能、职责</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二、部门（单位）机构设置及预算单位构成情况</w:t>
      </w:r>
    </w:p>
    <w:p>
      <w:pPr>
        <w:pStyle w:val="8"/>
        <w:pageBreakBefore w:val="0"/>
        <w:kinsoku/>
        <w:wordWrap/>
        <w:overflowPunct/>
        <w:topLinePunct w:val="0"/>
        <w:bidi w:val="0"/>
        <w:spacing w:after="0" w:line="600" w:lineRule="exact"/>
        <w:rPr>
          <w:rFonts w:ascii="黑体" w:hAnsi="黑体" w:eastAsia="黑体" w:cs="黑体"/>
          <w:sz w:val="32"/>
          <w:szCs w:val="32"/>
          <w:highlight w:val="none"/>
        </w:rPr>
      </w:pPr>
      <w:r>
        <w:rPr>
          <w:rFonts w:hint="eastAsia" w:ascii="仿宋" w:hAnsi="仿宋" w:eastAsia="仿宋" w:cs="仿宋"/>
          <w:sz w:val="32"/>
          <w:szCs w:val="32"/>
          <w:highlight w:val="none"/>
        </w:rPr>
        <w:t>三、</w:t>
      </w:r>
      <w:r>
        <w:rPr>
          <w:rFonts w:hint="eastAsia" w:ascii="仿宋" w:hAnsi="仿宋" w:eastAsia="仿宋" w:cs="仿宋"/>
          <w:sz w:val="32"/>
          <w:szCs w:val="32"/>
          <w:highlight w:val="none"/>
          <w:lang w:val="en-US" w:eastAsia="zh-CN"/>
        </w:rPr>
        <w:t>2024</w:t>
      </w:r>
      <w:r>
        <w:rPr>
          <w:rFonts w:hint="eastAsia" w:ascii="仿宋" w:hAnsi="仿宋" w:eastAsia="仿宋" w:cs="仿宋"/>
          <w:sz w:val="32"/>
          <w:szCs w:val="32"/>
          <w:highlight w:val="none"/>
        </w:rPr>
        <w:t>年度部门（单位）主要工作任务及目标</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 xml:space="preserve">第二部分 </w:t>
      </w:r>
      <w:r>
        <w:rPr>
          <w:rFonts w:hint="eastAsia" w:ascii="黑体" w:hAnsi="黑体" w:eastAsia="黑体" w:cs="黑体"/>
          <w:sz w:val="32"/>
          <w:szCs w:val="32"/>
          <w:lang w:val="en-US" w:eastAsia="zh-CN"/>
        </w:rPr>
        <w:t>2024</w:t>
      </w:r>
      <w:r>
        <w:rPr>
          <w:rFonts w:hint="eastAsia" w:ascii="黑体" w:hAnsi="黑体" w:eastAsia="黑体" w:cs="黑体"/>
          <w:sz w:val="32"/>
          <w:szCs w:val="32"/>
        </w:rPr>
        <w:t>年度部门（单位）预算情况说明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一、收支预算总体情况说明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三、支出预算情况说明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四、财政拨款收支预算总体情况说明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五、一般公共预算支出预算情况说明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六、一般公共预算基本支出预算情况说明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七、一般公共预算“三公”经费支出预算情况说明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八、政府性基金预算支出预算情况说明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十一、一般公共预算机关运行经费支出预算情况说明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十二、政府采购支出预算情况说明</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十三、国有资产占用情况说明</w:t>
      </w:r>
    </w:p>
    <w:p>
      <w:pPr>
        <w:pageBreakBefore w:val="0"/>
        <w:widowControl/>
        <w:kinsoku/>
        <w:wordWrap/>
        <w:overflowPunct/>
        <w:topLinePunct w:val="0"/>
        <w:bidi w:val="0"/>
        <w:spacing w:line="600" w:lineRule="exact"/>
        <w:jc w:val="left"/>
        <w:rPr>
          <w:rFonts w:ascii="仿宋" w:hAnsi="仿宋" w:eastAsia="仿宋" w:cs="仿宋"/>
          <w:sz w:val="32"/>
          <w:szCs w:val="32"/>
        </w:rPr>
      </w:pPr>
      <w:r>
        <w:rPr>
          <w:rFonts w:hint="eastAsia" w:ascii="仿宋" w:hAnsi="仿宋" w:eastAsia="仿宋" w:cs="仿宋"/>
          <w:sz w:val="32"/>
          <w:szCs w:val="32"/>
        </w:rPr>
        <w:t xml:space="preserve">十四、项目绩效目标情况说明 </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第三部分 名词解释</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第四部分 预算公开联系方式及信息反馈渠道</w:t>
      </w:r>
    </w:p>
    <w:p>
      <w:pPr>
        <w:pStyle w:val="8"/>
        <w:pageBreakBefore w:val="0"/>
        <w:kinsoku/>
        <w:wordWrap/>
        <w:overflowPunct/>
        <w:topLinePunct w:val="0"/>
        <w:bidi w:val="0"/>
        <w:spacing w:after="0" w:line="600" w:lineRule="exact"/>
        <w:rPr>
          <w:rFonts w:ascii="黑体" w:hAnsi="黑体" w:eastAsia="黑体" w:cs="黑体"/>
          <w:sz w:val="32"/>
          <w:szCs w:val="32"/>
        </w:rPr>
      </w:pPr>
      <w:r>
        <w:rPr>
          <w:rFonts w:hint="eastAsia" w:ascii="黑体" w:hAnsi="黑体" w:eastAsia="黑体" w:cs="黑体"/>
          <w:sz w:val="32"/>
          <w:szCs w:val="32"/>
        </w:rPr>
        <w:t>第五部分 锡林郭勒盟教育局</w:t>
      </w:r>
      <w:bookmarkStart w:id="0" w:name="_GoBack"/>
      <w:bookmarkEnd w:id="0"/>
      <w:r>
        <w:rPr>
          <w:rFonts w:hint="eastAsia" w:ascii="黑体" w:hAnsi="黑体" w:eastAsia="黑体" w:cs="黑体"/>
          <w:sz w:val="32"/>
          <w:szCs w:val="32"/>
        </w:rPr>
        <w:t>综合保障中心年度部门（单位）预算表</w:t>
      </w:r>
    </w:p>
    <w:p>
      <w:pPr>
        <w:pStyle w:val="8"/>
        <w:pageBreakBefore w:val="0"/>
        <w:numPr>
          <w:ilvl w:val="0"/>
          <w:numId w:val="1"/>
        </w:numPr>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二、收入总表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三、支出总表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四、财政拨款收支总表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五、一般公共预算支出表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六、一般公共预算基本支出表</w:t>
      </w:r>
    </w:p>
    <w:p>
      <w:pPr>
        <w:pStyle w:val="8"/>
        <w:pageBreakBefore w:val="0"/>
        <w:kinsoku/>
        <w:wordWrap/>
        <w:overflowPunct/>
        <w:topLinePunct w:val="0"/>
        <w:bidi w:val="0"/>
        <w:spacing w:after="0" w:line="600" w:lineRule="exact"/>
        <w:rPr>
          <w:rFonts w:ascii="仿宋" w:hAnsi="仿宋" w:eastAsia="仿宋" w:cs="仿宋"/>
          <w:spacing w:val="-16"/>
          <w:w w:val="95"/>
          <w:sz w:val="32"/>
          <w:szCs w:val="32"/>
        </w:rPr>
      </w:pPr>
      <w:r>
        <w:rPr>
          <w:rFonts w:hint="eastAsia" w:ascii="仿宋" w:hAnsi="仿宋" w:eastAsia="仿宋" w:cs="仿宋"/>
          <w:spacing w:val="-17"/>
          <w:w w:val="95"/>
          <w:sz w:val="32"/>
          <w:szCs w:val="32"/>
        </w:rPr>
        <w:t>七、一般公共预算</w:t>
      </w:r>
      <w:r>
        <w:rPr>
          <w:rFonts w:hint="eastAsia" w:ascii="仿宋" w:hAnsi="仿宋" w:eastAsia="仿宋" w:cs="仿宋"/>
          <w:spacing w:val="-8"/>
          <w:w w:val="95"/>
          <w:sz w:val="32"/>
          <w:szCs w:val="32"/>
        </w:rPr>
        <w:t>“</w:t>
      </w:r>
      <w:r>
        <w:rPr>
          <w:rFonts w:hint="eastAsia" w:ascii="仿宋" w:hAnsi="仿宋" w:eastAsia="仿宋" w:cs="仿宋"/>
          <w:spacing w:val="-15"/>
          <w:w w:val="95"/>
          <w:sz w:val="32"/>
          <w:szCs w:val="32"/>
        </w:rPr>
        <w:t>三公</w:t>
      </w:r>
      <w:r>
        <w:rPr>
          <w:rFonts w:hint="eastAsia" w:ascii="仿宋" w:hAnsi="仿宋" w:eastAsia="仿宋" w:cs="仿宋"/>
          <w:spacing w:val="-10"/>
          <w:w w:val="95"/>
          <w:sz w:val="32"/>
          <w:szCs w:val="32"/>
        </w:rPr>
        <w:t>”</w:t>
      </w:r>
      <w:r>
        <w:rPr>
          <w:rFonts w:hint="eastAsia" w:ascii="仿宋" w:hAnsi="仿宋" w:eastAsia="仿宋" w:cs="仿宋"/>
          <w:spacing w:val="-16"/>
          <w:w w:val="95"/>
          <w:sz w:val="32"/>
          <w:szCs w:val="32"/>
        </w:rPr>
        <w:t>经费支出表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pacing w:val="-16"/>
          <w:w w:val="95"/>
          <w:sz w:val="32"/>
          <w:szCs w:val="32"/>
        </w:rPr>
        <w:t>八、政府性基金预算支出表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九、国有资本经营预算支出表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十、项目支出表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sz w:val="32"/>
          <w:szCs w:val="32"/>
        </w:rPr>
        <w:t>十一、项目绩效目标表</w:t>
      </w:r>
    </w:p>
    <w:p>
      <w:pPr>
        <w:pStyle w:val="8"/>
        <w:pageBreakBefore w:val="0"/>
        <w:kinsoku/>
        <w:wordWrap/>
        <w:overflowPunct/>
        <w:topLinePunct w:val="0"/>
        <w:bidi w:val="0"/>
        <w:spacing w:after="0" w:line="600" w:lineRule="exact"/>
        <w:rPr>
          <w:rFonts w:ascii="仿宋" w:hAnsi="仿宋" w:eastAsia="仿宋" w:cs="仿宋"/>
          <w:sz w:val="32"/>
          <w:szCs w:val="32"/>
        </w:rPr>
      </w:pPr>
      <w:r>
        <w:rPr>
          <w:rFonts w:hint="eastAsia" w:ascii="仿宋" w:hAnsi="仿宋" w:eastAsia="仿宋" w:cs="仿宋"/>
          <w:w w:val="95"/>
          <w:sz w:val="32"/>
          <w:szCs w:val="32"/>
        </w:rPr>
        <w:t>十二、政府采购预算表</w:t>
      </w:r>
    </w:p>
    <w:p>
      <w:pPr>
        <w:pStyle w:val="18"/>
        <w:pageBreakBefore w:val="0"/>
        <w:kinsoku/>
        <w:wordWrap/>
        <w:overflowPunct/>
        <w:topLinePunct w:val="0"/>
        <w:bidi w:val="0"/>
        <w:spacing w:after="0" w:line="600" w:lineRule="exact"/>
        <w:rPr>
          <w:rFonts w:hint="default"/>
        </w:rPr>
        <w:sectPr>
          <w:headerReference r:id="rId3" w:type="default"/>
          <w:footerReference r:id="rId4" w:type="default"/>
          <w:pgSz w:w="11910" w:h="16840"/>
          <w:pgMar w:top="1582" w:right="1680" w:bottom="278" w:left="1640" w:header="720" w:footer="720" w:gutter="0"/>
          <w:pgNumType w:fmt="numberInDash"/>
          <w:cols w:space="0" w:num="1"/>
        </w:sectPr>
      </w:pPr>
    </w:p>
    <w:p>
      <w:pPr>
        <w:pStyle w:val="5"/>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第一部分  部门（单位）概况</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numPr>
          <w:ilvl w:val="0"/>
          <w:numId w:val="2"/>
        </w:numPr>
        <w:kinsoku/>
        <w:wordWrap/>
        <w:overflowPunct/>
        <w:topLinePunct w:val="0"/>
        <w:bidi w:val="0"/>
        <w:spacing w:line="600" w:lineRule="exact"/>
        <w:ind w:left="17" w:leftChars="8" w:firstLine="624" w:firstLineChars="195"/>
        <w:outlineLvl w:val="0"/>
        <w:rPr>
          <w:rFonts w:hint="eastAsia" w:eastAsia="黑体" w:cs="黑体"/>
          <w:b w:val="0"/>
          <w:bCs w:val="0"/>
          <w:sz w:val="32"/>
          <w:szCs w:val="36"/>
        </w:rPr>
      </w:pPr>
      <w:r>
        <w:rPr>
          <w:rFonts w:hint="eastAsia" w:eastAsia="黑体" w:cs="黑体"/>
          <w:b w:val="0"/>
          <w:bCs w:val="0"/>
          <w:sz w:val="32"/>
          <w:szCs w:val="36"/>
        </w:rPr>
        <w:t>主要职能职责</w:t>
      </w:r>
    </w:p>
    <w:p>
      <w:pPr>
        <w:keepNext w:val="0"/>
        <w:keepLines w:val="0"/>
        <w:pageBreakBefore w:val="0"/>
        <w:kinsoku/>
        <w:wordWrap/>
        <w:overflowPunct/>
        <w:topLinePunct w:val="0"/>
        <w:autoSpaceDE/>
        <w:autoSpaceDN/>
        <w:bidi w:val="0"/>
        <w:snapToGrid w:val="0"/>
        <w:spacing w:before="0" w:line="360" w:lineRule="auto"/>
        <w:ind w:firstLine="64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1.为局机关日常政务运转提供服务保障，承担局机关网站及政务服务平台涉及教育领域信息和数据的更新、使用工作。</w:t>
      </w:r>
    </w:p>
    <w:p>
      <w:pPr>
        <w:keepNext w:val="0"/>
        <w:keepLines w:val="0"/>
        <w:pageBreakBefore w:val="0"/>
        <w:kinsoku/>
        <w:wordWrap/>
        <w:overflowPunct/>
        <w:topLinePunct w:val="0"/>
        <w:autoSpaceDE/>
        <w:autoSpaceDN/>
        <w:bidi w:val="0"/>
        <w:snapToGrid w:val="0"/>
        <w:spacing w:before="0" w:line="360" w:lineRule="auto"/>
        <w:ind w:firstLine="64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2.协助落实全盟各级各类学生、教师等教育资助政策，推进精准资助和资助育人等相关工作。</w:t>
      </w:r>
    </w:p>
    <w:p>
      <w:pPr>
        <w:keepNext w:val="0"/>
        <w:keepLines w:val="0"/>
        <w:pageBreakBefore w:val="0"/>
        <w:kinsoku/>
        <w:wordWrap/>
        <w:overflowPunct/>
        <w:topLinePunct w:val="0"/>
        <w:autoSpaceDE/>
        <w:autoSpaceDN/>
        <w:bidi w:val="0"/>
        <w:snapToGrid w:val="0"/>
        <w:spacing w:before="0" w:line="360" w:lineRule="auto"/>
        <w:ind w:firstLine="64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3.协助开展农村牧区义务教育营养改善计划资金发放等工作。承担社会团体、企事业单位捐资助学相关服务工作。</w:t>
      </w:r>
    </w:p>
    <w:p>
      <w:pPr>
        <w:keepNext w:val="0"/>
        <w:keepLines w:val="0"/>
        <w:pageBreakBefore w:val="0"/>
        <w:kinsoku/>
        <w:wordWrap/>
        <w:overflowPunct/>
        <w:topLinePunct w:val="0"/>
        <w:autoSpaceDE/>
        <w:autoSpaceDN/>
        <w:bidi w:val="0"/>
        <w:snapToGrid w:val="0"/>
        <w:spacing w:before="0" w:line="360" w:lineRule="auto"/>
        <w:ind w:firstLine="640"/>
        <w:textAlignment w:val="auto"/>
        <w:rPr>
          <w:rFonts w:hint="eastAsia" w:ascii="仿宋_GB2312" w:hAnsi="仿宋" w:eastAsia="仿宋_GB2312"/>
          <w:color w:val="auto"/>
          <w:sz w:val="32"/>
          <w:szCs w:val="32"/>
          <w:u w:val="none"/>
        </w:rPr>
      </w:pPr>
      <w:r>
        <w:rPr>
          <w:rFonts w:hint="eastAsia" w:ascii="仿宋_GB2312" w:hAnsi="仿宋" w:eastAsia="仿宋_GB2312"/>
          <w:color w:val="auto"/>
          <w:sz w:val="32"/>
          <w:szCs w:val="32"/>
          <w:u w:val="none"/>
        </w:rPr>
        <w:t>4.参与拟订全盟各类教育资助政策，开展相关调研和资助政策宣传工作。</w:t>
      </w:r>
    </w:p>
    <w:p>
      <w:pPr>
        <w:keepNext w:val="0"/>
        <w:keepLines w:val="0"/>
        <w:pageBreakBefore w:val="0"/>
        <w:kinsoku/>
        <w:wordWrap/>
        <w:overflowPunct/>
        <w:topLinePunct w:val="0"/>
        <w:autoSpaceDE/>
        <w:autoSpaceDN/>
        <w:bidi w:val="0"/>
        <w:snapToGrid w:val="0"/>
        <w:spacing w:before="0" w:line="360" w:lineRule="auto"/>
        <w:ind w:firstLine="640"/>
        <w:textAlignment w:val="auto"/>
        <w:rPr>
          <w:rFonts w:hint="eastAsia"/>
        </w:rPr>
      </w:pPr>
      <w:r>
        <w:rPr>
          <w:rFonts w:hint="eastAsia" w:ascii="仿宋_GB2312" w:hAnsi="仿宋" w:eastAsia="仿宋_GB2312"/>
          <w:color w:val="auto"/>
          <w:sz w:val="32"/>
          <w:szCs w:val="32"/>
          <w:u w:val="none"/>
        </w:rPr>
        <w:t>5.完成盟教育局交办的其他工作任务。</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二、部门（单位）机构设置及预算单位构成情况</w:t>
      </w:r>
    </w:p>
    <w:p>
      <w:pPr>
        <w:pageBreakBefore w:val="0"/>
        <w:kinsoku/>
        <w:wordWrap/>
        <w:overflowPunct/>
        <w:topLinePunct w:val="0"/>
        <w:bidi w:val="0"/>
        <w:spacing w:line="600" w:lineRule="exact"/>
        <w:ind w:firstLine="640" w:firstLineChars="200"/>
        <w:rPr>
          <w:rFonts w:eastAsia="仿宋_GB2312" w:cstheme="minorBidi"/>
          <w:sz w:val="32"/>
          <w:szCs w:val="32"/>
          <w:highlight w:val="yellow"/>
        </w:rPr>
      </w:pPr>
      <w:r>
        <w:rPr>
          <w:rFonts w:hint="eastAsia" w:eastAsia="仿宋_GB2312" w:cstheme="minorBidi"/>
          <w:sz w:val="32"/>
          <w:szCs w:val="32"/>
        </w:rPr>
        <w:t>1．</w:t>
      </w:r>
      <w:r>
        <w:rPr>
          <w:rFonts w:hint="eastAsia" w:eastAsia="仿宋_GB2312" w:cstheme="minorBidi"/>
          <w:color w:val="auto"/>
          <w:sz w:val="32"/>
          <w:szCs w:val="32"/>
        </w:rPr>
        <w:t>根据单位职责分工，本单位</w:t>
      </w:r>
      <w:r>
        <w:rPr>
          <w:rFonts w:hint="eastAsia" w:eastAsia="仿宋_GB2312" w:cstheme="minorBidi"/>
          <w:color w:val="auto"/>
          <w:sz w:val="32"/>
          <w:szCs w:val="32"/>
          <w:lang w:eastAsia="zh-CN"/>
        </w:rPr>
        <w:t>无</w:t>
      </w:r>
      <w:r>
        <w:rPr>
          <w:rFonts w:hint="eastAsia" w:eastAsia="仿宋_GB2312" w:cstheme="minorBidi"/>
          <w:color w:val="auto"/>
          <w:sz w:val="32"/>
          <w:szCs w:val="32"/>
        </w:rPr>
        <w:t>内设机构。本单位</w:t>
      </w:r>
      <w:r>
        <w:rPr>
          <w:rFonts w:hint="eastAsia" w:eastAsia="仿宋_GB2312" w:cstheme="minorBidi"/>
          <w:color w:val="auto"/>
          <w:sz w:val="32"/>
          <w:szCs w:val="32"/>
          <w:lang w:eastAsia="zh-CN"/>
        </w:rPr>
        <w:t>无</w:t>
      </w:r>
      <w:r>
        <w:rPr>
          <w:rFonts w:hint="eastAsia" w:eastAsia="仿宋_GB2312" w:cstheme="minorBidi"/>
          <w:color w:val="auto"/>
          <w:sz w:val="32"/>
          <w:szCs w:val="32"/>
        </w:rPr>
        <w:t>下属单位。</w:t>
      </w:r>
    </w:p>
    <w:p>
      <w:pPr>
        <w:pageBreakBefore w:val="0"/>
        <w:kinsoku/>
        <w:wordWrap/>
        <w:overflowPunct/>
        <w:topLinePunct w:val="0"/>
        <w:bidi w:val="0"/>
        <w:spacing w:line="600" w:lineRule="exact"/>
        <w:ind w:firstLine="640" w:firstLineChars="200"/>
        <w:rPr>
          <w:rFonts w:eastAsia="仿宋_GB2312" w:cstheme="minorBidi"/>
          <w:sz w:val="32"/>
          <w:szCs w:val="32"/>
        </w:rPr>
      </w:pPr>
      <w:r>
        <w:rPr>
          <w:rFonts w:hint="eastAsia" w:eastAsia="仿宋_GB2312" w:cstheme="minorBidi"/>
          <w:sz w:val="32"/>
          <w:szCs w:val="32"/>
        </w:rPr>
        <w:t>2．从预算单位构成看，纳入本部门（单位）</w:t>
      </w:r>
      <w:r>
        <w:rPr>
          <w:rFonts w:hint="eastAsia" w:eastAsia="仿宋_GB2312" w:cstheme="minorBidi"/>
          <w:sz w:val="32"/>
          <w:szCs w:val="32"/>
          <w:lang w:val="en-US" w:eastAsia="zh-CN"/>
        </w:rPr>
        <w:t>2024</w:t>
      </w:r>
      <w:r>
        <w:rPr>
          <w:rFonts w:hint="eastAsia" w:eastAsia="仿宋_GB2312" w:cstheme="minorBidi"/>
          <w:sz w:val="32"/>
          <w:szCs w:val="32"/>
        </w:rPr>
        <w:t>年部门汇总预算编制范围的预算单位共计</w:t>
      </w:r>
      <w:r>
        <w:rPr>
          <w:rFonts w:hint="eastAsia" w:eastAsia="仿宋_GB2312" w:cstheme="minorBidi"/>
          <w:sz w:val="32"/>
          <w:szCs w:val="32"/>
          <w:lang w:val="en-US" w:eastAsia="zh-CN"/>
        </w:rPr>
        <w:t>1</w:t>
      </w:r>
      <w:r>
        <w:rPr>
          <w:rFonts w:hint="eastAsia" w:eastAsia="仿宋_GB2312" w:cstheme="minorBidi"/>
          <w:sz w:val="32"/>
          <w:szCs w:val="32"/>
        </w:rPr>
        <w:t>家，具体包括：锡林郭勒盟教育局综合保障中心。。</w:t>
      </w:r>
    </w:p>
    <w:p>
      <w:pPr>
        <w:pageBreakBefore w:val="0"/>
        <w:tabs>
          <w:tab w:val="left" w:pos="3532"/>
        </w:tabs>
        <w:kinsoku/>
        <w:wordWrap/>
        <w:overflowPunct/>
        <w:topLinePunct w:val="0"/>
        <w:autoSpaceDE w:val="0"/>
        <w:autoSpaceDN w:val="0"/>
        <w:bidi w:val="0"/>
        <w:adjustRightInd w:val="0"/>
        <w:spacing w:line="6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单位情况表</w:t>
      </w:r>
    </w:p>
    <w:tbl>
      <w:tblPr>
        <w:tblStyle w:val="19"/>
        <w:tblpPr w:leftFromText="180" w:rightFromText="180" w:vertAnchor="text" w:horzAnchor="page" w:tblpX="1745" w:tblpY="190"/>
        <w:tblOverlap w:val="never"/>
        <w:tblW w:w="9347" w:type="dxa"/>
        <w:tblInd w:w="0" w:type="dxa"/>
        <w:tblLayout w:type="fixed"/>
        <w:tblCellMar>
          <w:top w:w="0" w:type="dxa"/>
          <w:left w:w="108" w:type="dxa"/>
          <w:bottom w:w="0" w:type="dxa"/>
          <w:right w:w="108" w:type="dxa"/>
        </w:tblCellMar>
      </w:tblPr>
      <w:tblGrid>
        <w:gridCol w:w="876"/>
        <w:gridCol w:w="4043"/>
        <w:gridCol w:w="4428"/>
      </w:tblGrid>
      <w:tr>
        <w:tblPrEx>
          <w:tblCellMar>
            <w:top w:w="0" w:type="dxa"/>
            <w:left w:w="108" w:type="dxa"/>
            <w:bottom w:w="0" w:type="dxa"/>
            <w:right w:w="108" w:type="dxa"/>
          </w:tblCellMar>
        </w:tblPrEx>
        <w:trPr>
          <w:trHeight w:val="595" w:hRule="atLeast"/>
        </w:trPr>
        <w:tc>
          <w:tcPr>
            <w:tcW w:w="876"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序号</w:t>
            </w:r>
          </w:p>
        </w:tc>
        <w:tc>
          <w:tcPr>
            <w:tcW w:w="4043"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单位名称</w:t>
            </w:r>
          </w:p>
        </w:tc>
        <w:tc>
          <w:tcPr>
            <w:tcW w:w="4428" w:type="dxa"/>
            <w:tcBorders>
              <w:top w:val="single" w:color="auto" w:sz="4" w:space="0"/>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单位性质</w:t>
            </w:r>
          </w:p>
        </w:tc>
      </w:tr>
      <w:tr>
        <w:tblPrEx>
          <w:tblCellMar>
            <w:top w:w="0" w:type="dxa"/>
            <w:left w:w="108" w:type="dxa"/>
            <w:bottom w:w="0" w:type="dxa"/>
            <w:right w:w="108" w:type="dxa"/>
          </w:tblCellMar>
        </w:tblPrEx>
        <w:trPr>
          <w:trHeight w:val="36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r>
              <w:rPr>
                <w:rFonts w:hint="eastAsia" w:ascii="仿宋" w:hAnsi="仿宋" w:eastAsia="仿宋" w:cs="仿宋"/>
                <w:kern w:val="0"/>
                <w:sz w:val="30"/>
                <w:szCs w:val="30"/>
              </w:rPr>
              <w:t>1</w:t>
            </w: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eastAsia="仿宋_GB2312" w:cstheme="minorBidi"/>
                <w:color w:val="auto"/>
                <w:sz w:val="32"/>
                <w:szCs w:val="32"/>
                <w:lang w:eastAsia="zh-CN"/>
              </w:rPr>
              <w:t>锡林郭勒盟教育局综合保障中心</w:t>
            </w: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r>
              <w:rPr>
                <w:rFonts w:hint="eastAsia" w:ascii="仿宋" w:hAnsi="仿宋" w:eastAsia="仿宋" w:cs="仿宋"/>
                <w:color w:val="auto"/>
                <w:kern w:val="0"/>
                <w:sz w:val="30"/>
                <w:szCs w:val="30"/>
              </w:rPr>
              <w:t>财政</w:t>
            </w:r>
            <w:r>
              <w:rPr>
                <w:rFonts w:hint="eastAsia" w:ascii="仿宋" w:hAnsi="仿宋" w:eastAsia="仿宋" w:cs="仿宋"/>
                <w:color w:val="auto"/>
                <w:kern w:val="0"/>
                <w:sz w:val="30"/>
                <w:szCs w:val="30"/>
                <w:lang w:eastAsia="zh-CN"/>
              </w:rPr>
              <w:t>全额</w:t>
            </w:r>
            <w:r>
              <w:rPr>
                <w:rFonts w:hint="eastAsia" w:ascii="仿宋" w:hAnsi="仿宋" w:eastAsia="仿宋" w:cs="仿宋"/>
                <w:color w:val="auto"/>
                <w:kern w:val="0"/>
                <w:sz w:val="30"/>
                <w:szCs w:val="30"/>
              </w:rPr>
              <w:t>拨款的</w:t>
            </w:r>
            <w:r>
              <w:rPr>
                <w:rFonts w:hint="eastAsia" w:ascii="仿宋" w:hAnsi="仿宋" w:eastAsia="仿宋" w:cs="仿宋"/>
                <w:color w:val="auto"/>
                <w:kern w:val="0"/>
                <w:sz w:val="30"/>
                <w:szCs w:val="30"/>
                <w:lang w:eastAsia="zh-CN"/>
              </w:rPr>
              <w:t>事业</w:t>
            </w:r>
            <w:r>
              <w:rPr>
                <w:rFonts w:hint="eastAsia" w:ascii="仿宋" w:hAnsi="仿宋" w:eastAsia="仿宋" w:cs="仿宋"/>
                <w:color w:val="auto"/>
                <w:kern w:val="0"/>
                <w:sz w:val="30"/>
                <w:szCs w:val="30"/>
              </w:rPr>
              <w:t>单位</w:t>
            </w:r>
          </w:p>
        </w:tc>
      </w:tr>
      <w:tr>
        <w:tblPrEx>
          <w:tblCellMar>
            <w:top w:w="0" w:type="dxa"/>
            <w:left w:w="108" w:type="dxa"/>
            <w:bottom w:w="0" w:type="dxa"/>
            <w:right w:w="108" w:type="dxa"/>
          </w:tblCellMar>
        </w:tblPrEx>
        <w:trPr>
          <w:trHeight w:val="814" w:hRule="atLeast"/>
        </w:trPr>
        <w:tc>
          <w:tcPr>
            <w:tcW w:w="876" w:type="dxa"/>
            <w:tcBorders>
              <w:top w:val="nil"/>
              <w:left w:val="single" w:color="auto" w:sz="4" w:space="0"/>
              <w:bottom w:val="single" w:color="auto" w:sz="4" w:space="0"/>
              <w:right w:val="single" w:color="auto" w:sz="4" w:space="0"/>
            </w:tcBorders>
            <w:vAlign w:val="center"/>
          </w:tcPr>
          <w:p>
            <w:pPr>
              <w:pageBreakBefore w:val="0"/>
              <w:widowControl/>
              <w:kinsoku/>
              <w:wordWrap/>
              <w:overflowPunct/>
              <w:topLinePunct w:val="0"/>
              <w:bidi w:val="0"/>
              <w:spacing w:line="600" w:lineRule="exact"/>
              <w:jc w:val="center"/>
              <w:rPr>
                <w:rFonts w:ascii="仿宋" w:hAnsi="仿宋" w:eastAsia="仿宋" w:cs="仿宋"/>
                <w:kern w:val="0"/>
                <w:sz w:val="30"/>
                <w:szCs w:val="30"/>
              </w:rPr>
            </w:pPr>
          </w:p>
        </w:tc>
        <w:tc>
          <w:tcPr>
            <w:tcW w:w="4043"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c>
          <w:tcPr>
            <w:tcW w:w="4428" w:type="dxa"/>
            <w:tcBorders>
              <w:top w:val="nil"/>
              <w:left w:val="nil"/>
              <w:bottom w:val="single" w:color="auto" w:sz="4" w:space="0"/>
              <w:right w:val="single" w:color="auto" w:sz="4" w:space="0"/>
            </w:tcBorders>
            <w:vAlign w:val="center"/>
          </w:tcPr>
          <w:p>
            <w:pPr>
              <w:pageBreakBefore w:val="0"/>
              <w:widowControl/>
              <w:kinsoku/>
              <w:wordWrap/>
              <w:overflowPunct/>
              <w:topLinePunct w:val="0"/>
              <w:bidi w:val="0"/>
              <w:spacing w:line="600" w:lineRule="exact"/>
              <w:rPr>
                <w:rFonts w:ascii="仿宋" w:hAnsi="仿宋" w:eastAsia="仿宋" w:cs="仿宋"/>
                <w:kern w:val="0"/>
                <w:sz w:val="30"/>
                <w:szCs w:val="30"/>
              </w:rPr>
            </w:pPr>
          </w:p>
        </w:tc>
      </w:tr>
    </w:tbl>
    <w:p>
      <w:pPr>
        <w:pageBreakBefore w:val="0"/>
        <w:kinsoku/>
        <w:wordWrap/>
        <w:overflowPunct/>
        <w:topLinePunct w:val="0"/>
        <w:bidi w:val="0"/>
        <w:spacing w:line="600" w:lineRule="exact"/>
        <w:rPr>
          <w:rFonts w:eastAsia="仿宋_GB2312" w:cstheme="minorBidi"/>
          <w:sz w:val="32"/>
          <w:szCs w:val="32"/>
        </w:rPr>
      </w:pPr>
    </w:p>
    <w:p>
      <w:pPr>
        <w:pageBreakBefore w:val="0"/>
        <w:kinsoku/>
        <w:wordWrap/>
        <w:overflowPunct/>
        <w:topLinePunct w:val="0"/>
        <w:bidi w:val="0"/>
        <w:spacing w:line="600" w:lineRule="exact"/>
        <w:ind w:firstLine="640" w:firstLineChars="200"/>
        <w:rPr>
          <w:rFonts w:hint="eastAsia" w:eastAsia="黑体" w:cs="黑体"/>
          <w:b w:val="0"/>
          <w:bCs w:val="0"/>
          <w:sz w:val="32"/>
          <w:szCs w:val="36"/>
        </w:rPr>
      </w:pPr>
      <w:r>
        <w:rPr>
          <w:rFonts w:hint="eastAsia" w:eastAsia="黑体" w:cs="黑体"/>
          <w:b w:val="0"/>
          <w:bCs w:val="0"/>
          <w:sz w:val="32"/>
          <w:szCs w:val="36"/>
        </w:rPr>
        <w:t>三、</w:t>
      </w:r>
      <w:r>
        <w:rPr>
          <w:rFonts w:hint="eastAsia" w:eastAsia="黑体" w:cs="黑体"/>
          <w:b w:val="0"/>
          <w:bCs w:val="0"/>
          <w:sz w:val="32"/>
          <w:szCs w:val="36"/>
          <w:lang w:val="en-US" w:eastAsia="zh-CN"/>
        </w:rPr>
        <w:t>2024</w:t>
      </w:r>
      <w:r>
        <w:rPr>
          <w:rFonts w:hint="eastAsia" w:eastAsia="黑体" w:cs="黑体"/>
          <w:b w:val="0"/>
          <w:bCs w:val="0"/>
          <w:sz w:val="32"/>
          <w:szCs w:val="36"/>
        </w:rPr>
        <w:t>年部门（单位）主要工作任务及目标</w:t>
      </w:r>
    </w:p>
    <w:p>
      <w:pPr>
        <w:spacing w:line="540" w:lineRule="exact"/>
        <w:ind w:firstLine="640" w:firstLineChars="200"/>
        <w:rPr>
          <w:rFonts w:hint="eastAsia" w:ascii="Arial Unicode MS" w:hAnsi="Arial Unicode MS" w:eastAsia="Arial Unicode MS" w:cs="Arial Unicode MS"/>
          <w:b w:val="0"/>
          <w:bCs w:val="0"/>
          <w:sz w:val="36"/>
          <w:szCs w:val="36"/>
        </w:rPr>
      </w:pPr>
      <w:r>
        <w:rPr>
          <w:rFonts w:hint="eastAsia" w:ascii="仿宋" w:hAnsi="仿宋" w:eastAsia="仿宋" w:cs="黑体"/>
          <w:color w:val="000000" w:themeColor="text1"/>
          <w:sz w:val="32"/>
          <w:szCs w:val="32"/>
          <w14:textFill>
            <w14:solidFill>
              <w14:schemeClr w14:val="tx1"/>
            </w14:solidFill>
          </w14:textFill>
        </w:rPr>
        <w:t>一是做好脱贫</w:t>
      </w:r>
      <w:r>
        <w:rPr>
          <w:rFonts w:ascii="仿宋" w:hAnsi="仿宋" w:eastAsia="仿宋" w:cs="黑体"/>
          <w:color w:val="000000" w:themeColor="text1"/>
          <w:sz w:val="32"/>
          <w:szCs w:val="32"/>
          <w14:textFill>
            <w14:solidFill>
              <w14:schemeClr w14:val="tx1"/>
            </w14:solidFill>
          </w14:textFill>
        </w:rPr>
        <w:t>攻坚成果与乡村振兴相衔接各项工作。</w:t>
      </w:r>
      <w:r>
        <w:rPr>
          <w:rFonts w:hint="eastAsia" w:ascii="仿宋" w:hAnsi="仿宋" w:eastAsia="仿宋" w:cs="黑体"/>
          <w:color w:val="000000" w:themeColor="text1"/>
          <w:sz w:val="32"/>
          <w:szCs w:val="32"/>
          <w14:textFill>
            <w14:solidFill>
              <w14:schemeClr w14:val="tx1"/>
            </w14:solidFill>
          </w14:textFill>
        </w:rPr>
        <w:t>二是做好全盟各项助学资金预算。三是组织落实各级各类助学政策。四是组织指导各旗县市（区）做好家庭经济困难学生</w:t>
      </w:r>
      <w:r>
        <w:rPr>
          <w:rFonts w:ascii="仿宋" w:hAnsi="仿宋" w:eastAsia="仿宋" w:cs="黑体"/>
          <w:color w:val="000000" w:themeColor="text1"/>
          <w:sz w:val="32"/>
          <w:szCs w:val="32"/>
          <w14:textFill>
            <w14:solidFill>
              <w14:schemeClr w14:val="tx1"/>
            </w14:solidFill>
          </w14:textFill>
        </w:rPr>
        <w:t>认定</w:t>
      </w:r>
      <w:r>
        <w:rPr>
          <w:rFonts w:hint="eastAsia" w:ascii="仿宋" w:hAnsi="仿宋" w:eastAsia="仿宋" w:cs="黑体"/>
          <w:color w:val="000000" w:themeColor="text1"/>
          <w:sz w:val="32"/>
          <w:szCs w:val="32"/>
          <w14:textFill>
            <w14:solidFill>
              <w14:schemeClr w14:val="tx1"/>
            </w14:solidFill>
          </w14:textFill>
        </w:rPr>
        <w:t>和</w:t>
      </w:r>
      <w:r>
        <w:rPr>
          <w:rFonts w:ascii="仿宋" w:hAnsi="仿宋" w:eastAsia="仿宋" w:cs="黑体"/>
          <w:color w:val="000000" w:themeColor="text1"/>
          <w:sz w:val="32"/>
          <w:szCs w:val="32"/>
          <w14:textFill>
            <w14:solidFill>
              <w14:schemeClr w14:val="tx1"/>
            </w14:solidFill>
          </w14:textFill>
        </w:rPr>
        <w:t>资助工作。</w:t>
      </w:r>
      <w:r>
        <w:rPr>
          <w:rFonts w:hint="eastAsia" w:ascii="仿宋" w:hAnsi="仿宋" w:eastAsia="仿宋" w:cs="黑体"/>
          <w:color w:val="000000" w:themeColor="text1"/>
          <w:sz w:val="32"/>
          <w:szCs w:val="32"/>
          <w14:textFill>
            <w14:solidFill>
              <w14:schemeClr w14:val="tx1"/>
            </w14:solidFill>
          </w14:textFill>
        </w:rPr>
        <w:t>五是组织指导各旗县市（区）做好</w:t>
      </w:r>
      <w:r>
        <w:rPr>
          <w:rFonts w:ascii="仿宋" w:hAnsi="仿宋" w:eastAsia="仿宋" w:cs="黑体"/>
          <w:color w:val="000000" w:themeColor="text1"/>
          <w:sz w:val="32"/>
          <w:szCs w:val="32"/>
          <w14:textFill>
            <w14:solidFill>
              <w14:schemeClr w14:val="tx1"/>
            </w14:solidFill>
          </w14:textFill>
        </w:rPr>
        <w:t>中职国家奖学金工作。</w:t>
      </w:r>
      <w:r>
        <w:rPr>
          <w:rFonts w:hint="eastAsia" w:ascii="仿宋" w:hAnsi="仿宋" w:eastAsia="仿宋" w:cs="黑体"/>
          <w:color w:val="000000" w:themeColor="text1"/>
          <w:sz w:val="32"/>
          <w:szCs w:val="32"/>
          <w14:textFill>
            <w14:solidFill>
              <w14:schemeClr w14:val="tx1"/>
            </w14:solidFill>
          </w14:textFill>
        </w:rPr>
        <w:t>六是</w:t>
      </w:r>
      <w:r>
        <w:rPr>
          <w:rFonts w:ascii="仿宋" w:hAnsi="仿宋" w:eastAsia="仿宋" w:cs="黑体"/>
          <w:color w:val="000000" w:themeColor="text1"/>
          <w:sz w:val="32"/>
          <w:szCs w:val="32"/>
          <w14:textFill>
            <w14:solidFill>
              <w14:schemeClr w14:val="tx1"/>
            </w14:solidFill>
          </w14:textFill>
        </w:rPr>
        <w:t>组织指导各旗县市</w:t>
      </w:r>
      <w:r>
        <w:rPr>
          <w:rFonts w:hint="eastAsia" w:ascii="仿宋" w:hAnsi="仿宋" w:eastAsia="仿宋" w:cs="黑体"/>
          <w:color w:val="000000" w:themeColor="text1"/>
          <w:sz w:val="32"/>
          <w:szCs w:val="32"/>
          <w14:textFill>
            <w14:solidFill>
              <w14:schemeClr w14:val="tx1"/>
            </w14:solidFill>
          </w14:textFill>
        </w:rPr>
        <w:t>（</w:t>
      </w:r>
      <w:r>
        <w:rPr>
          <w:rFonts w:ascii="仿宋" w:hAnsi="仿宋" w:eastAsia="仿宋" w:cs="黑体"/>
          <w:color w:val="000000" w:themeColor="text1"/>
          <w:sz w:val="32"/>
          <w:szCs w:val="32"/>
          <w14:textFill>
            <w14:solidFill>
              <w14:schemeClr w14:val="tx1"/>
            </w14:solidFill>
          </w14:textFill>
        </w:rPr>
        <w:t>区</w:t>
      </w:r>
      <w:r>
        <w:rPr>
          <w:rFonts w:hint="eastAsia" w:ascii="仿宋" w:hAnsi="仿宋" w:eastAsia="仿宋" w:cs="黑体"/>
          <w:color w:val="000000" w:themeColor="text1"/>
          <w:sz w:val="32"/>
          <w:szCs w:val="32"/>
          <w14:textFill>
            <w14:solidFill>
              <w14:schemeClr w14:val="tx1"/>
            </w14:solidFill>
          </w14:textFill>
        </w:rPr>
        <w:t>）开展</w:t>
      </w:r>
      <w:r>
        <w:rPr>
          <w:rFonts w:ascii="仿宋" w:hAnsi="仿宋" w:eastAsia="仿宋" w:cs="黑体"/>
          <w:color w:val="000000" w:themeColor="text1"/>
          <w:sz w:val="32"/>
          <w:szCs w:val="32"/>
          <w14:textFill>
            <w14:solidFill>
              <w14:schemeClr w14:val="tx1"/>
            </w14:solidFill>
          </w14:textFill>
        </w:rPr>
        <w:t>自治区</w:t>
      </w:r>
      <w:r>
        <w:rPr>
          <w:rFonts w:hint="eastAsia" w:ascii="仿宋" w:hAnsi="仿宋" w:eastAsia="仿宋" w:cs="黑体"/>
          <w:color w:val="000000" w:themeColor="text1"/>
          <w:sz w:val="32"/>
          <w:szCs w:val="32"/>
          <w14:textFill>
            <w14:solidFill>
              <w14:schemeClr w14:val="tx1"/>
            </w14:solidFill>
          </w14:textFill>
        </w:rPr>
        <w:t>普通高校入学资助政策和生源地助学贷款各项工作。七是组织并做好各级各类学生资助信息系统升级培训工作。八是配合盟财政局做好专项资金绩效评估工作。</w:t>
      </w:r>
    </w:p>
    <w:p>
      <w:pPr>
        <w:pStyle w:val="5"/>
        <w:pageBreakBefore w:val="0"/>
        <w:tabs>
          <w:tab w:val="left" w:pos="4392"/>
        </w:tabs>
        <w:kinsoku/>
        <w:wordWrap/>
        <w:overflowPunct/>
        <w:topLinePunct w:val="0"/>
        <w:bidi w:val="0"/>
        <w:spacing w:before="0" w:after="0" w:line="600" w:lineRule="exact"/>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第二部分</w:t>
      </w:r>
      <w:r>
        <w:rPr>
          <w:rFonts w:hint="eastAsia" w:ascii="Arial Unicode MS" w:hAnsi="Arial Unicode MS" w:eastAsia="Arial Unicode MS" w:cs="Arial Unicode MS"/>
          <w:b w:val="0"/>
          <w:bCs w:val="0"/>
          <w:sz w:val="36"/>
          <w:szCs w:val="36"/>
          <w:lang w:val="en-US" w:eastAsia="zh-CN"/>
        </w:rPr>
        <w:t>2024</w:t>
      </w:r>
      <w:r>
        <w:rPr>
          <w:rFonts w:hint="eastAsia" w:ascii="Arial Unicode MS" w:hAnsi="Arial Unicode MS" w:eastAsia="Arial Unicode MS" w:cs="Arial Unicode MS"/>
          <w:b w:val="0"/>
          <w:bCs w:val="0"/>
          <w:sz w:val="36"/>
          <w:szCs w:val="36"/>
        </w:rPr>
        <w:t>年度部门（单位）预算情况说明</w:t>
      </w:r>
    </w:p>
    <w:p>
      <w:pPr>
        <w:pageBreakBefore w:val="0"/>
        <w:kinsoku/>
        <w:wordWrap/>
        <w:overflowPunct/>
        <w:topLinePunct w:val="0"/>
        <w:bidi w:val="0"/>
        <w:spacing w:line="600" w:lineRule="exact"/>
        <w:rPr>
          <w:rFonts w:hint="eastAsia" w:ascii="Arial Unicode MS" w:hAnsi="Arial Unicode MS" w:eastAsia="Arial Unicode MS" w:cs="Arial Unicode MS"/>
          <w:sz w:val="36"/>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一、收支预算总体情况说明</w:t>
      </w:r>
    </w:p>
    <w:p>
      <w:pPr>
        <w:pStyle w:val="8"/>
        <w:pageBreakBefore w:val="0"/>
        <w:tabs>
          <w:tab w:val="left" w:pos="5840"/>
          <w:tab w:val="left" w:pos="7858"/>
          <w:tab w:val="left" w:pos="9328"/>
        </w:tabs>
        <w:kinsoku/>
        <w:wordWrap/>
        <w:overflowPunct/>
        <w:topLinePunct w:val="0"/>
        <w:bidi w:val="0"/>
        <w:spacing w:after="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u w:val="single"/>
          <w:lang w:eastAsia="zh-CN"/>
        </w:rPr>
        <w:t>锡林郭勒盟教育局综合保障中心</w:t>
      </w:r>
      <w:r>
        <w:rPr>
          <w:rFonts w:hint="eastAsia" w:ascii="仿宋_GB2312" w:hAnsi="仿宋_GB2312" w:eastAsia="仿宋_GB2312" w:cs="仿宋_GB2312"/>
          <w:sz w:val="32"/>
          <w:szCs w:val="32"/>
          <w:u w:val="single"/>
        </w:rPr>
        <w:t>单位</w:t>
      </w:r>
      <w:r>
        <w:rPr>
          <w:rFonts w:hint="eastAsia" w:ascii="仿宋_GB2312" w:hAnsi="仿宋_GB2312" w:eastAsia="仿宋_GB2312" w:cs="仿宋_GB2312"/>
          <w:sz w:val="32"/>
          <w:szCs w:val="32"/>
          <w:u w:val="single"/>
          <w:lang w:val="en-US" w:eastAsia="zh-CN"/>
        </w:rPr>
        <w:t>2024</w:t>
      </w:r>
      <w:r>
        <w:rPr>
          <w:rFonts w:hint="eastAsia" w:ascii="仿宋_GB2312" w:hAnsi="仿宋_GB2312" w:eastAsia="仿宋_GB2312" w:cs="仿宋_GB2312"/>
          <w:sz w:val="32"/>
          <w:szCs w:val="32"/>
        </w:rPr>
        <w:t>年度收入、支出预算总计</w:t>
      </w:r>
      <w:r>
        <w:rPr>
          <w:rFonts w:hint="eastAsia" w:ascii="仿宋_GB2312" w:hAnsi="仿宋_GB2312" w:eastAsia="仿宋_GB2312" w:cs="仿宋_GB2312"/>
          <w:sz w:val="32"/>
          <w:szCs w:val="32"/>
          <w:u w:val="single"/>
        </w:rPr>
        <w:t>697.59</w:t>
      </w:r>
      <w:r>
        <w:rPr>
          <w:rFonts w:hint="eastAsia" w:ascii="仿宋_GB2312" w:hAnsi="仿宋_GB2312" w:eastAsia="仿宋_GB2312" w:cs="仿宋_GB2312"/>
          <w:sz w:val="32"/>
          <w:szCs w:val="32"/>
        </w:rPr>
        <w:t>万元，与上年相比收、支预算总计各减少</w:t>
      </w:r>
      <w:r>
        <w:rPr>
          <w:rFonts w:hint="eastAsia" w:ascii="仿宋_GB2312" w:hAnsi="仿宋_GB2312" w:eastAsia="仿宋_GB2312" w:cs="仿宋_GB2312"/>
          <w:sz w:val="32"/>
          <w:szCs w:val="32"/>
          <w:u w:val="single"/>
        </w:rPr>
        <w:t>2731.2</w:t>
      </w:r>
      <w:r>
        <w:rPr>
          <w:rFonts w:hint="eastAsia" w:ascii="仿宋_GB2312" w:hAnsi="仿宋_GB2312" w:eastAsia="仿宋_GB2312" w:cs="仿宋_GB2312"/>
          <w:sz w:val="32"/>
          <w:szCs w:val="32"/>
          <w:u w:val="single"/>
          <w:lang w:val="en-US" w:eastAsia="zh-CN"/>
        </w:rPr>
        <w:t>4</w:t>
      </w:r>
      <w:r>
        <w:rPr>
          <w:rFonts w:hint="eastAsia" w:ascii="仿宋_GB2312" w:hAnsi="仿宋_GB2312" w:eastAsia="仿宋_GB2312" w:cs="仿宋_GB2312"/>
          <w:sz w:val="32"/>
          <w:szCs w:val="32"/>
        </w:rPr>
        <w:t>万元，增减少</w:t>
      </w:r>
      <w:r>
        <w:rPr>
          <w:rFonts w:hint="eastAsia" w:ascii="仿宋_GB2312" w:hAnsi="仿宋_GB2312" w:eastAsia="仿宋_GB2312" w:cs="仿宋_GB2312"/>
          <w:sz w:val="32"/>
          <w:szCs w:val="32"/>
          <w:u w:val="single"/>
          <w:lang w:val="en-US" w:eastAsia="zh-CN"/>
        </w:rPr>
        <w:t>79.66</w:t>
      </w:r>
      <w:r>
        <w:rPr>
          <w:rFonts w:hint="eastAsia" w:ascii="仿宋_GB2312" w:hAnsi="仿宋_GB2312" w:eastAsia="仿宋_GB2312" w:cs="仿宋_GB2312"/>
          <w:sz w:val="32"/>
          <w:szCs w:val="32"/>
        </w:rPr>
        <w:t>%。其中：</w:t>
      </w:r>
    </w:p>
    <w:p>
      <w:pPr>
        <w:pStyle w:val="8"/>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（一）收入预算总计</w:t>
      </w:r>
      <w:r>
        <w:rPr>
          <w:rFonts w:hint="eastAsia" w:ascii="仿宋" w:hAnsi="仿宋" w:eastAsia="仿宋" w:cs="仿宋"/>
          <w:sz w:val="32"/>
          <w:szCs w:val="32"/>
          <w:u w:val="single"/>
        </w:rPr>
        <w:t>697.59</w:t>
      </w:r>
      <w:r>
        <w:rPr>
          <w:rFonts w:hint="eastAsia" w:ascii="楷体" w:hAnsi="楷体" w:eastAsia="楷体" w:cs="楷体"/>
          <w:b/>
          <w:bCs/>
          <w:sz w:val="32"/>
          <w:szCs w:val="32"/>
        </w:rPr>
        <w:t>万元。包括：</w:t>
      </w:r>
    </w:p>
    <w:p>
      <w:pPr>
        <w:pStyle w:val="8"/>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1．本年收入合计</w:t>
      </w:r>
      <w:r>
        <w:rPr>
          <w:rFonts w:hint="default" w:ascii="Times New Roman" w:hAnsi="Times New Roman" w:eastAsia="仿宋_GB2312" w:cs="Times New Roman"/>
          <w:sz w:val="32"/>
          <w:szCs w:val="32"/>
          <w:u w:val="single"/>
        </w:rPr>
        <w:t>697.59</w:t>
      </w:r>
      <w:r>
        <w:rPr>
          <w:rFonts w:hint="default" w:ascii="Times New Roman" w:hAnsi="Times New Roman" w:eastAsia="仿宋_GB2312" w:cs="Times New Roman"/>
          <w:sz w:val="32"/>
          <w:szCs w:val="32"/>
        </w:rPr>
        <w:t>万元。</w:t>
      </w:r>
    </w:p>
    <w:p>
      <w:pPr>
        <w:pStyle w:val="8"/>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（1）一般公共预算拨款收入</w:t>
      </w:r>
      <w:r>
        <w:rPr>
          <w:rFonts w:hint="default" w:ascii="Times New Roman" w:hAnsi="Times New Roman" w:eastAsia="仿宋_GB2312" w:cs="Times New Roman"/>
          <w:sz w:val="32"/>
          <w:szCs w:val="32"/>
          <w:u w:val="single"/>
        </w:rPr>
        <w:t>685.88</w:t>
      </w:r>
      <w:r>
        <w:rPr>
          <w:rFonts w:hint="default" w:ascii="Times New Roman" w:hAnsi="Times New Roman" w:eastAsia="仿宋_GB2312" w:cs="Times New Roman"/>
          <w:sz w:val="32"/>
          <w:szCs w:val="32"/>
        </w:rPr>
        <w:t>万元，与上年相比减少2726.</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万元，减少</w:t>
      </w:r>
      <w:r>
        <w:rPr>
          <w:rFonts w:hint="eastAsia" w:eastAsia="仿宋_GB2312" w:cs="Times New Roman"/>
          <w:sz w:val="32"/>
          <w:szCs w:val="32"/>
          <w:lang w:val="en-US" w:eastAsia="zh-CN"/>
        </w:rPr>
        <w:t>79.9</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上年对旗县转移支付的</w:t>
      </w:r>
      <w:r>
        <w:rPr>
          <w:rFonts w:hint="default" w:ascii="Times New Roman" w:hAnsi="Times New Roman" w:eastAsia="仿宋_GB2312" w:cs="Times New Roman"/>
          <w:sz w:val="32"/>
          <w:szCs w:val="32"/>
        </w:rPr>
        <w:t>各类学生资助资金</w:t>
      </w:r>
      <w:r>
        <w:rPr>
          <w:rFonts w:hint="eastAsia" w:eastAsia="仿宋_GB2312" w:cs="Times New Roman"/>
          <w:sz w:val="32"/>
          <w:szCs w:val="32"/>
          <w:lang w:eastAsia="zh-CN"/>
        </w:rPr>
        <w:t>预算由我单位代编，本年预算不包括这项资金</w:t>
      </w:r>
      <w:r>
        <w:rPr>
          <w:rFonts w:hint="default" w:ascii="Times New Roman" w:hAnsi="Times New Roman" w:eastAsia="仿宋_GB2312" w:cs="Times New Roman"/>
          <w:sz w:val="32"/>
          <w:szCs w:val="32"/>
        </w:rPr>
        <w:t>。</w:t>
      </w:r>
    </w:p>
    <w:p>
      <w:pPr>
        <w:pStyle w:val="8"/>
        <w:pageBreakBefore w:val="0"/>
        <w:tabs>
          <w:tab w:val="left" w:pos="1389"/>
          <w:tab w:val="left" w:pos="4911"/>
          <w:tab w:val="left" w:pos="599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（2）政府性基金预算拨款收入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1389"/>
          <w:tab w:val="left" w:pos="4911"/>
          <w:tab w:val="left" w:pos="6205"/>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（3）国有资本经营预算拨款收入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1389"/>
          <w:tab w:val="left" w:pos="4911"/>
          <w:tab w:val="left" w:pos="5898"/>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（4）财政专户管理资金收入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3310"/>
          <w:tab w:val="left" w:pos="3807"/>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4320"/>
          <w:tab w:val="left" w:pos="9433"/>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1389"/>
          <w:tab w:val="left" w:pos="4911"/>
          <w:tab w:val="left" w:pos="590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万元，增长</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%。主要原因是我单位不存在此项内容。</w:t>
      </w:r>
    </w:p>
    <w:p>
      <w:pPr>
        <w:pStyle w:val="8"/>
        <w:pageBreakBefore w:val="0"/>
        <w:tabs>
          <w:tab w:val="left" w:pos="3310"/>
          <w:tab w:val="left" w:pos="4121"/>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（9）其他收入</w:t>
      </w:r>
      <w:r>
        <w:rPr>
          <w:rFonts w:hint="default" w:ascii="Times New Roman" w:hAnsi="Times New Roman" w:eastAsia="仿宋_GB2312" w:cs="Times New Roman"/>
          <w:sz w:val="32"/>
          <w:szCs w:val="32"/>
          <w:u w:val="single"/>
        </w:rPr>
        <w:t>11.71</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万元，减少</w:t>
      </w:r>
      <w:r>
        <w:rPr>
          <w:rFonts w:hint="eastAsia" w:eastAsia="仿宋_GB2312" w:cs="Times New Roman"/>
          <w:sz w:val="32"/>
          <w:szCs w:val="32"/>
          <w:u w:val="single"/>
          <w:lang w:val="en-US" w:eastAsia="zh-CN"/>
        </w:rPr>
        <w:t>20.39</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其他收入为自治区助学中心拨付我单位助学贷款代理费，预计</w:t>
      </w:r>
      <w:r>
        <w:rPr>
          <w:rFonts w:hint="eastAsia" w:eastAsia="仿宋_GB2312" w:cs="Times New Roman"/>
          <w:sz w:val="32"/>
          <w:szCs w:val="32"/>
          <w:lang w:val="en-US" w:eastAsia="zh-CN"/>
        </w:rPr>
        <w:t>2024年比2023年减少3万元</w:t>
      </w:r>
      <w:r>
        <w:rPr>
          <w:rFonts w:hint="default" w:ascii="Times New Roman" w:hAnsi="Times New Roman" w:eastAsia="仿宋_GB2312" w:cs="Times New Roman"/>
          <w:sz w:val="32"/>
          <w:szCs w:val="32"/>
        </w:rPr>
        <w:t>。</w:t>
      </w:r>
    </w:p>
    <w:p>
      <w:pPr>
        <w:pStyle w:val="8"/>
        <w:pageBreakBefore w:val="0"/>
        <w:tabs>
          <w:tab w:val="left" w:pos="3310"/>
          <w:tab w:val="left" w:pos="4280"/>
          <w:tab w:val="left" w:pos="9431"/>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2．上年结转结余为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万元。与上年相比减少</w:t>
      </w:r>
      <w:r>
        <w:rPr>
          <w:rFonts w:hint="eastAsia" w:eastAsia="仿宋_GB2312" w:cs="Times New Roman"/>
          <w:sz w:val="32"/>
          <w:szCs w:val="32"/>
          <w:lang w:val="en-US" w:eastAsia="zh-CN"/>
        </w:rPr>
        <w:t>1.44</w:t>
      </w:r>
      <w:r>
        <w:rPr>
          <w:rFonts w:hint="default" w:ascii="Times New Roman" w:hAnsi="Times New Roman" w:eastAsia="仿宋_GB2312" w:cs="Times New Roman"/>
          <w:sz w:val="32"/>
          <w:szCs w:val="32"/>
        </w:rPr>
        <w:t>万元，减少</w:t>
      </w:r>
      <w:r>
        <w:rPr>
          <w:rFonts w:hint="eastAsia" w:eastAsia="仿宋_GB2312" w:cs="Times New Roman"/>
          <w:sz w:val="32"/>
          <w:szCs w:val="32"/>
          <w:lang w:val="en-US" w:eastAsia="zh-CN"/>
        </w:rPr>
        <w:t>100</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本年无结转结余资金</w:t>
      </w:r>
      <w:r>
        <w:rPr>
          <w:rFonts w:hint="default" w:ascii="Times New Roman" w:hAnsi="Times New Roman" w:eastAsia="仿宋_GB2312" w:cs="Times New Roman"/>
          <w:sz w:val="32"/>
          <w:szCs w:val="32"/>
        </w:rPr>
        <w:t>。</w:t>
      </w:r>
    </w:p>
    <w:p>
      <w:pPr>
        <w:pStyle w:val="8"/>
        <w:pageBreakBefore w:val="0"/>
        <w:tabs>
          <w:tab w:val="left" w:pos="4275"/>
        </w:tabs>
        <w:kinsoku/>
        <w:wordWrap/>
        <w:overflowPunct/>
        <w:topLinePunct w:val="0"/>
        <w:bidi w:val="0"/>
        <w:spacing w:after="0"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（二）支出预算总计</w:t>
      </w:r>
      <w:r>
        <w:rPr>
          <w:rFonts w:hint="eastAsia" w:ascii="仿宋" w:hAnsi="仿宋" w:eastAsia="仿宋" w:cs="仿宋"/>
          <w:sz w:val="32"/>
          <w:szCs w:val="32"/>
          <w:u w:val="single"/>
        </w:rPr>
        <w:t>697.59</w:t>
      </w:r>
      <w:r>
        <w:rPr>
          <w:rFonts w:hint="eastAsia" w:ascii="楷体" w:hAnsi="楷体" w:eastAsia="楷体" w:cs="楷体"/>
          <w:b/>
          <w:bCs/>
          <w:sz w:val="32"/>
          <w:szCs w:val="32"/>
        </w:rPr>
        <w:t>万元。包括：</w:t>
      </w:r>
    </w:p>
    <w:p>
      <w:pPr>
        <w:pStyle w:val="8"/>
        <w:pageBreakBefore w:val="0"/>
        <w:tabs>
          <w:tab w:val="left" w:pos="379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1．本年支出合计</w:t>
      </w:r>
      <w:r>
        <w:rPr>
          <w:rFonts w:hint="default" w:ascii="Times New Roman" w:hAnsi="Times New Roman" w:eastAsia="仿宋_GB2312" w:cs="Times New Roman"/>
          <w:sz w:val="32"/>
          <w:szCs w:val="32"/>
          <w:u w:val="single"/>
        </w:rPr>
        <w:t>697.59</w:t>
      </w:r>
      <w:r>
        <w:rPr>
          <w:rFonts w:hint="default" w:ascii="Times New Roman" w:hAnsi="Times New Roman" w:eastAsia="仿宋_GB2312" w:cs="Times New Roman"/>
          <w:sz w:val="32"/>
          <w:szCs w:val="32"/>
        </w:rPr>
        <w:t>万元。</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（1）教育（类）支出660.99万元，主要用于机构运转、</w:t>
      </w:r>
      <w:r>
        <w:rPr>
          <w:rFonts w:hint="eastAsia" w:eastAsia="仿宋_GB2312" w:cs="Times New Roman"/>
          <w:sz w:val="32"/>
          <w:szCs w:val="32"/>
          <w:lang w:eastAsia="zh-CN"/>
        </w:rPr>
        <w:t>盟直学校</w:t>
      </w:r>
      <w:r>
        <w:rPr>
          <w:rFonts w:hint="default" w:ascii="Times New Roman" w:hAnsi="Times New Roman" w:eastAsia="仿宋_GB2312" w:cs="Times New Roman"/>
          <w:sz w:val="32"/>
          <w:szCs w:val="32"/>
        </w:rPr>
        <w:t>各类学生资助资金等方面支出。与上年相比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rPr>
        <w:t>2736.06万元，</w:t>
      </w:r>
      <w:r>
        <w:rPr>
          <w:rFonts w:hint="eastAsia" w:eastAsia="仿宋_GB2312" w:cs="Times New Roman"/>
          <w:sz w:val="32"/>
          <w:szCs w:val="32"/>
          <w:lang w:eastAsia="zh-CN"/>
        </w:rPr>
        <w:t>减少</w:t>
      </w:r>
      <w:r>
        <w:rPr>
          <w:rFonts w:hint="eastAsia" w:eastAsia="仿宋_GB2312" w:cs="Times New Roman"/>
          <w:sz w:val="32"/>
          <w:szCs w:val="32"/>
          <w:lang w:val="en-US" w:eastAsia="zh-CN"/>
        </w:rPr>
        <w:t>80.54</w:t>
      </w:r>
      <w:r>
        <w:rPr>
          <w:rFonts w:hint="default" w:ascii="Times New Roman" w:hAnsi="Times New Roman" w:eastAsia="仿宋_GB2312" w:cs="Times New Roman"/>
          <w:sz w:val="32"/>
          <w:szCs w:val="32"/>
        </w:rPr>
        <w:t>%。主要原因</w:t>
      </w:r>
      <w:r>
        <w:rPr>
          <w:rFonts w:hint="eastAsia" w:eastAsia="仿宋_GB2312" w:cs="Times New Roman"/>
          <w:sz w:val="32"/>
          <w:szCs w:val="32"/>
          <w:lang w:eastAsia="zh-CN"/>
        </w:rPr>
        <w:t>上年对旗县转移支付的</w:t>
      </w:r>
      <w:r>
        <w:rPr>
          <w:rFonts w:hint="default" w:ascii="Times New Roman" w:hAnsi="Times New Roman" w:eastAsia="仿宋_GB2312" w:cs="Times New Roman"/>
          <w:sz w:val="32"/>
          <w:szCs w:val="32"/>
        </w:rPr>
        <w:t>各类学生资助资金</w:t>
      </w:r>
      <w:r>
        <w:rPr>
          <w:rFonts w:hint="eastAsia" w:eastAsia="仿宋_GB2312" w:cs="Times New Roman"/>
          <w:sz w:val="32"/>
          <w:szCs w:val="32"/>
          <w:lang w:eastAsia="zh-CN"/>
        </w:rPr>
        <w:t>预算由我单位代编，本年预算不包括这项资金</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（2）社会保障和就业（类）支出12.94万元，主要用于缴纳机关事业单位基本养老保险。与上年相比增加0.07万元，增长0.5</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正常的调资导致的养老保险缴费增加</w:t>
      </w:r>
      <w:r>
        <w:rPr>
          <w:rFonts w:hint="default" w:ascii="Times New Roman" w:hAnsi="Times New Roman" w:eastAsia="仿宋_GB2312" w:cs="Times New Roman"/>
          <w:sz w:val="32"/>
          <w:szCs w:val="32"/>
        </w:rPr>
        <w:t>。</w:t>
      </w:r>
    </w:p>
    <w:p>
      <w:pPr>
        <w:pageBreakBefore w:val="0"/>
        <w:kinsoku/>
        <w:wordWrap/>
        <w:overflowPunct/>
        <w:topLinePunct w:val="0"/>
        <w:bidi w:val="0"/>
        <w:spacing w:line="600" w:lineRule="exact"/>
        <w:ind w:firstLine="640" w:firstLineChars="200"/>
        <w:rPr>
          <w:rFonts w:hint="eastAsia" w:eastAsia="仿宋_GB2312" w:cs="Times New Roman"/>
          <w:sz w:val="32"/>
          <w:szCs w:val="32"/>
          <w:lang w:eastAsia="zh-CN"/>
        </w:rPr>
      </w:pPr>
      <w:r>
        <w:rPr>
          <w:rFonts w:hint="default" w:ascii="Times New Roman" w:hAnsi="Times New Roman" w:eastAsia="仿宋_GB2312" w:cs="Times New Roman"/>
          <w:sz w:val="32"/>
          <w:szCs w:val="32"/>
        </w:rPr>
        <w:t>（3）卫生健康（类）支出5.68万元，主要用于缴纳医疗保险等。与上年相比</w:t>
      </w:r>
      <w:r>
        <w:rPr>
          <w:rFonts w:hint="eastAsia" w:eastAsia="仿宋_GB2312" w:cs="Times New Roman"/>
          <w:sz w:val="32"/>
          <w:szCs w:val="32"/>
          <w:lang w:eastAsia="zh-CN"/>
        </w:rPr>
        <w:t>减少</w:t>
      </w:r>
      <w:r>
        <w:rPr>
          <w:rFonts w:hint="default" w:ascii="Times New Roman" w:hAnsi="Times New Roman" w:eastAsia="仿宋_GB2312" w:cs="Times New Roman"/>
          <w:sz w:val="32"/>
          <w:szCs w:val="32"/>
        </w:rPr>
        <w:t>1.3</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19.39</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上年有1.44万元疫情防控资金。</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（4）住房保障（类）支出17.98万元，主要用于缴纳住房公积金和发放新职工住房补。与上年相比增加6.1</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万元，增长51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%。主要原因是</w:t>
      </w:r>
      <w:r>
        <w:rPr>
          <w:rFonts w:hint="eastAsia" w:eastAsia="仿宋_GB2312" w:cs="Times New Roman"/>
          <w:sz w:val="32"/>
          <w:szCs w:val="32"/>
          <w:lang w:eastAsia="zh-CN"/>
        </w:rPr>
        <w:t>住房公积金政策变便</w:t>
      </w:r>
      <w:r>
        <w:rPr>
          <w:rFonts w:hint="default" w:ascii="Times New Roman" w:hAnsi="Times New Roman" w:eastAsia="仿宋_GB2312" w:cs="Times New Roman"/>
          <w:sz w:val="32"/>
          <w:szCs w:val="32"/>
        </w:rPr>
        <w:t>，缴费工资基数增加，导致住房保障类支出增加。</w:t>
      </w:r>
    </w:p>
    <w:p>
      <w:pPr>
        <w:pStyle w:val="8"/>
        <w:pageBreakBefore w:val="0"/>
        <w:tabs>
          <w:tab w:val="left" w:pos="4112"/>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2．年终结转结余为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二、收入预算情况说明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锡林郭勒盟教育局综合保障中心单位</w:t>
      </w:r>
      <w:r>
        <w:rPr>
          <w:rFonts w:hint="eastAsia" w:eastAsia="仿宋_GB2312" w:cs="Times New Roman"/>
          <w:sz w:val="32"/>
          <w:szCs w:val="32"/>
          <w:u w:val="single"/>
          <w:lang w:val="en-US" w:eastAsia="zh-CN"/>
        </w:rPr>
        <w:t>2024</w:t>
      </w:r>
      <w:r>
        <w:rPr>
          <w:rFonts w:hint="default" w:ascii="Times New Roman" w:hAnsi="Times New Roman" w:eastAsia="仿宋_GB2312" w:cs="Times New Roman"/>
          <w:sz w:val="32"/>
          <w:szCs w:val="32"/>
        </w:rPr>
        <w:t>年收入预算合计</w:t>
      </w:r>
      <w:r>
        <w:rPr>
          <w:rFonts w:hint="default" w:ascii="Times New Roman" w:hAnsi="Times New Roman" w:eastAsia="仿宋_GB2312" w:cs="Times New Roman"/>
          <w:sz w:val="32"/>
          <w:szCs w:val="32"/>
          <w:u w:val="single"/>
        </w:rPr>
        <w:t>697.59</w:t>
      </w:r>
      <w:r>
        <w:rPr>
          <w:rFonts w:hint="default" w:ascii="Times New Roman" w:hAnsi="Times New Roman" w:eastAsia="仿宋_GB2312" w:cs="Times New Roman"/>
          <w:sz w:val="32"/>
          <w:szCs w:val="32"/>
        </w:rPr>
        <w:t>万元，包括本年收入</w:t>
      </w:r>
      <w:r>
        <w:rPr>
          <w:rFonts w:hint="default" w:ascii="Times New Roman" w:hAnsi="Times New Roman" w:eastAsia="仿宋_GB2312" w:cs="Times New Roman"/>
          <w:sz w:val="32"/>
          <w:szCs w:val="32"/>
          <w:u w:val="single"/>
        </w:rPr>
        <w:t>697.59</w:t>
      </w:r>
      <w:r>
        <w:rPr>
          <w:rFonts w:hint="default" w:ascii="Times New Roman" w:hAnsi="Times New Roman" w:eastAsia="仿宋_GB2312" w:cs="Times New Roman"/>
          <w:sz w:val="32"/>
          <w:szCs w:val="32"/>
        </w:rPr>
        <w:t>万元，上年结转结余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万元。其中：</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本年一般公共预算收入</w:t>
      </w:r>
      <w:r>
        <w:rPr>
          <w:rFonts w:hint="default" w:ascii="Times New Roman" w:hAnsi="Times New Roman" w:eastAsia="仿宋_GB2312" w:cs="Times New Roman"/>
          <w:sz w:val="32"/>
          <w:szCs w:val="32"/>
          <w:u w:val="single"/>
        </w:rPr>
        <w:t>685.88</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98.32</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本年事业单位经营收入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本年上级补助收入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本年附属单位上缴收入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本年其他收入</w:t>
      </w:r>
      <w:r>
        <w:rPr>
          <w:rFonts w:hint="default" w:ascii="Times New Roman" w:hAnsi="Times New Roman" w:eastAsia="仿宋_GB2312" w:cs="Times New Roman"/>
          <w:sz w:val="32"/>
          <w:szCs w:val="32"/>
          <w:u w:val="single"/>
        </w:rPr>
        <w:t>11.71</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1.68</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上年结转结余的一般公共预算收入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上年结转结余的政府性基金预算收入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上年结转结余的国有资本经营预算收入</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上年结转结余的财政专户管理资金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上年结转结余的单位资金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420" w:firstLineChars="200"/>
        <w:rPr>
          <w:rFonts w:hint="default" w:ascii="Times New Roman" w:hAnsi="Times New Roman" w:eastAsia="仿宋_GB2312" w:cs="Times New Roman"/>
          <w:sz w:val="32"/>
          <w:szCs w:val="32"/>
        </w:rPr>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314960</wp:posOffset>
            </wp:positionH>
            <wp:positionV relativeFrom="paragraph">
              <wp:posOffset>108585</wp:posOffset>
            </wp:positionV>
            <wp:extent cx="5256530" cy="3329940"/>
            <wp:effectExtent l="4445" t="4445" r="15875" b="1841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outlineLvl w:val="0"/>
        <w:rPr>
          <w:rFonts w:hint="eastAsia" w:eastAsia="黑体" w:cs="黑体"/>
          <w:b w:val="0"/>
          <w:bCs w:val="0"/>
          <w:sz w:val="32"/>
          <w:szCs w:val="36"/>
        </w:rPr>
      </w:pPr>
    </w:p>
    <w:p>
      <w:pPr>
        <w:pageBreakBefore w:val="0"/>
        <w:kinsoku/>
        <w:wordWrap/>
        <w:overflowPunct/>
        <w:topLinePunct w:val="0"/>
        <w:bidi w:val="0"/>
        <w:spacing w:line="600" w:lineRule="exact"/>
        <w:outlineLvl w:val="0"/>
        <w:rPr>
          <w:rFonts w:hint="eastAsia" w:eastAsia="黑体" w:cs="黑体"/>
          <w:b w:val="0"/>
          <w:bCs w:val="0"/>
          <w:sz w:val="32"/>
          <w:szCs w:val="36"/>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三、支出预算情况说明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锡林郭勒盟教育局综合保障中心单位202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年支出预算合计</w:t>
      </w:r>
      <w:r>
        <w:rPr>
          <w:rFonts w:hint="default" w:ascii="Times New Roman" w:hAnsi="Times New Roman" w:eastAsia="仿宋_GB2312" w:cs="Times New Roman"/>
          <w:sz w:val="32"/>
          <w:szCs w:val="32"/>
          <w:u w:val="single"/>
        </w:rPr>
        <w:t xml:space="preserve">     697.59</w:t>
      </w:r>
      <w:r>
        <w:rPr>
          <w:rFonts w:hint="default" w:ascii="Times New Roman" w:hAnsi="Times New Roman" w:eastAsia="仿宋_GB2312" w:cs="Times New Roman"/>
          <w:sz w:val="32"/>
          <w:szCs w:val="32"/>
        </w:rPr>
        <w:t>万元，其中：</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基本支出</w:t>
      </w:r>
      <w:r>
        <w:rPr>
          <w:rFonts w:hint="default" w:ascii="Times New Roman" w:hAnsi="Times New Roman" w:eastAsia="仿宋_GB2312" w:cs="Times New Roman"/>
          <w:sz w:val="32"/>
          <w:szCs w:val="32"/>
          <w:u w:val="single"/>
        </w:rPr>
        <w:t xml:space="preserve"> 157.51</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22.58</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项目支出</w:t>
      </w:r>
      <w:r>
        <w:rPr>
          <w:rFonts w:hint="default" w:ascii="Times New Roman" w:hAnsi="Times New Roman" w:eastAsia="仿宋_GB2312" w:cs="Times New Roman"/>
          <w:sz w:val="32"/>
          <w:szCs w:val="32"/>
          <w:u w:val="single"/>
        </w:rPr>
        <w:t xml:space="preserve"> 540.08 </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77.42</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rPr>
        <w:t>事业单位经营支出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上缴上级支出</w:t>
      </w:r>
      <w:r>
        <w:rPr>
          <w:rFonts w:hint="default" w:ascii="Times New Roman" w:hAnsi="Times New Roman" w:eastAsia="仿宋_GB2312" w:cs="Times New Roman"/>
          <w:sz w:val="32"/>
          <w:szCs w:val="32"/>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对附属单位补助支出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w:t>
      </w:r>
    </w:p>
    <w:p>
      <w:pPr>
        <w:pStyle w:val="8"/>
        <w:pageBreakBefore w:val="0"/>
        <w:tabs>
          <w:tab w:val="left" w:pos="2671"/>
          <w:tab w:val="left" w:pos="5000"/>
          <w:tab w:val="left" w:pos="6190"/>
        </w:tabs>
        <w:kinsoku/>
        <w:wordWrap/>
        <w:overflowPunct/>
        <w:topLinePunct w:val="0"/>
        <w:bidi w:val="0"/>
        <w:spacing w:after="0" w:line="600" w:lineRule="exact"/>
        <w:ind w:firstLine="420" w:firstLineChars="200"/>
        <w:rPr>
          <w:rFonts w:hint="default" w:ascii="Times New Roman" w:hAnsi="Times New Roman" w:eastAsia="仿宋_GB2312" w:cs="Times New Roman"/>
          <w:sz w:val="32"/>
          <w:szCs w:val="32"/>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330835</wp:posOffset>
            </wp:positionH>
            <wp:positionV relativeFrom="paragraph">
              <wp:posOffset>39370</wp:posOffset>
            </wp:positionV>
            <wp:extent cx="5256530" cy="1696085"/>
            <wp:effectExtent l="4445" t="4445" r="15875" b="13970"/>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四、财政拨款收支预算总体情况说明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ascii="仿宋" w:hAnsi="仿宋" w:eastAsia="仿宋" w:cs="仿宋"/>
          <w:sz w:val="32"/>
          <w:szCs w:val="32"/>
        </w:rPr>
      </w:pPr>
      <w:r>
        <w:rPr>
          <w:rFonts w:hint="default" w:ascii="Times New Roman" w:hAnsi="Times New Roman" w:eastAsia="仿宋_GB2312" w:cs="Times New Roman"/>
          <w:sz w:val="32"/>
          <w:szCs w:val="32"/>
          <w:u w:val="single"/>
        </w:rPr>
        <w:t>锡林郭勒盟教育局综合保障中心单位202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年度财政拨款收、支总预算</w:t>
      </w:r>
      <w:r>
        <w:rPr>
          <w:rFonts w:hint="default" w:ascii="Times New Roman" w:hAnsi="Times New Roman" w:eastAsia="仿宋_GB2312" w:cs="Times New Roman"/>
          <w:sz w:val="32"/>
          <w:szCs w:val="32"/>
          <w:u w:val="single"/>
        </w:rPr>
        <w:t>685.88</w:t>
      </w:r>
      <w:r>
        <w:rPr>
          <w:rFonts w:hint="default" w:ascii="Times New Roman" w:hAnsi="Times New Roman" w:eastAsia="仿宋_GB2312" w:cs="Times New Roman"/>
          <w:sz w:val="32"/>
          <w:szCs w:val="32"/>
        </w:rPr>
        <w:t>万元。与上年相比，财政拨款收、支总计各减少</w:t>
      </w:r>
      <w:r>
        <w:rPr>
          <w:rFonts w:hint="default" w:ascii="Times New Roman" w:hAnsi="Times New Roman" w:eastAsia="仿宋_GB2312" w:cs="Times New Roman"/>
          <w:sz w:val="32"/>
          <w:szCs w:val="32"/>
          <w:u w:val="single"/>
        </w:rPr>
        <w:t>2728.2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79</w:t>
      </w:r>
      <w:r>
        <w:rPr>
          <w:rFonts w:hint="eastAsia" w:eastAsia="仿宋_GB2312" w:cs="Times New Roman"/>
          <w:sz w:val="32"/>
          <w:szCs w:val="32"/>
          <w:u w:val="single"/>
          <w:lang w:val="en-US" w:eastAsia="zh-CN"/>
        </w:rPr>
        <w:t>.</w:t>
      </w:r>
      <w:r>
        <w:rPr>
          <w:rFonts w:hint="default" w:ascii="Times New Roman" w:hAnsi="Times New Roman" w:eastAsia="仿宋_GB2312" w:cs="Times New Roman"/>
          <w:sz w:val="32"/>
          <w:szCs w:val="32"/>
          <w:u w:val="single"/>
        </w:rPr>
        <w:t>91</w:t>
      </w:r>
      <w:r>
        <w:rPr>
          <w:rFonts w:hint="default" w:ascii="Times New Roman" w:hAnsi="Times New Roman" w:eastAsia="仿宋_GB2312" w:cs="Times New Roman"/>
          <w:sz w:val="32"/>
          <w:szCs w:val="32"/>
        </w:rPr>
        <w:t>%。主要原因是上年对旗县转移支付的各类学生资助资金预算由我单位代编，本年预算不包括这项资金。</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五、一般公共预算支出预算情况说明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锡林郭勒盟教育局综合保障中心单位202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年一般公共预算财政拨款支出预算</w:t>
      </w:r>
      <w:r>
        <w:rPr>
          <w:rFonts w:hint="default" w:ascii="Times New Roman" w:hAnsi="Times New Roman" w:eastAsia="仿宋_GB2312" w:cs="Times New Roman"/>
          <w:sz w:val="32"/>
          <w:szCs w:val="32"/>
          <w:u w:val="single"/>
        </w:rPr>
        <w:t>685.88</w:t>
      </w:r>
      <w:r>
        <w:rPr>
          <w:rFonts w:hint="default" w:ascii="Times New Roman" w:hAnsi="Times New Roman" w:eastAsia="仿宋_GB2312" w:cs="Times New Roman"/>
          <w:sz w:val="32"/>
          <w:szCs w:val="32"/>
        </w:rPr>
        <w:t>万元，与上年相比增加减少</w:t>
      </w:r>
      <w:r>
        <w:rPr>
          <w:rFonts w:hint="default" w:ascii="Times New Roman" w:hAnsi="Times New Roman" w:eastAsia="仿宋_GB2312" w:cs="Times New Roman"/>
          <w:sz w:val="32"/>
          <w:szCs w:val="32"/>
          <w:u w:val="single"/>
        </w:rPr>
        <w:t>2728.2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万元，减少</w:t>
      </w:r>
      <w:r>
        <w:rPr>
          <w:rFonts w:hint="default" w:ascii="Times New Roman" w:hAnsi="Times New Roman" w:eastAsia="仿宋_GB2312" w:cs="Times New Roman"/>
          <w:sz w:val="32"/>
          <w:szCs w:val="32"/>
          <w:u w:val="single"/>
        </w:rPr>
        <w:t>79</w:t>
      </w:r>
      <w:r>
        <w:rPr>
          <w:rFonts w:hint="eastAsia" w:eastAsia="仿宋_GB2312" w:cs="Times New Roman"/>
          <w:sz w:val="32"/>
          <w:szCs w:val="32"/>
          <w:u w:val="single"/>
          <w:lang w:val="en-US" w:eastAsia="zh-CN"/>
        </w:rPr>
        <w:t>.</w:t>
      </w:r>
      <w:r>
        <w:rPr>
          <w:rFonts w:hint="default" w:ascii="Times New Roman" w:hAnsi="Times New Roman" w:eastAsia="仿宋_GB2312" w:cs="Times New Roman"/>
          <w:sz w:val="32"/>
          <w:szCs w:val="32"/>
          <w:u w:val="single"/>
        </w:rPr>
        <w:t>91</w:t>
      </w:r>
      <w:r>
        <w:rPr>
          <w:rFonts w:hint="default" w:ascii="Times New Roman" w:hAnsi="Times New Roman" w:eastAsia="仿宋_GB2312" w:cs="Times New Roman"/>
          <w:sz w:val="32"/>
          <w:szCs w:val="32"/>
        </w:rPr>
        <w:t>%。主要原因是上年对旗县转移支付的各类学生资助资金预算由我单位代编，本年预算不包括这项资金。</w:t>
      </w:r>
    </w:p>
    <w:p>
      <w:pPr>
        <w:keepNext w:val="0"/>
        <w:keepLines w:val="0"/>
        <w:pageBreakBefore w:val="0"/>
        <w:kinsoku/>
        <w:wordWrap/>
        <w:overflowPunct/>
        <w:topLinePunct w:val="0"/>
        <w:autoSpaceDE/>
        <w:autoSpaceDN/>
        <w:bidi w:val="0"/>
        <w:spacing w:before="0" w:line="360" w:lineRule="auto"/>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b w:val="0"/>
          <w:bCs w:val="0"/>
          <w:color w:val="auto"/>
          <w:sz w:val="32"/>
          <w:szCs w:val="32"/>
          <w:u w:val="none"/>
          <w:lang w:eastAsia="zh-CN"/>
        </w:rPr>
        <w:t>（一）</w:t>
      </w:r>
      <w:r>
        <w:rPr>
          <w:rFonts w:hint="eastAsia" w:ascii="仿宋_GB2312" w:hAnsi="仿宋_GB2312" w:eastAsia="仿宋_GB2312" w:cs="仿宋_GB2312"/>
          <w:b w:val="0"/>
          <w:bCs w:val="0"/>
          <w:color w:val="auto"/>
          <w:sz w:val="32"/>
          <w:szCs w:val="32"/>
          <w:u w:val="none"/>
        </w:rPr>
        <w:t>教育（类）</w:t>
      </w:r>
    </w:p>
    <w:p>
      <w:pPr>
        <w:keepNext w:val="0"/>
        <w:keepLines w:val="0"/>
        <w:pageBreakBefore w:val="0"/>
        <w:kinsoku/>
        <w:wordWrap/>
        <w:overflowPunct/>
        <w:topLinePunct w:val="0"/>
        <w:autoSpaceDE/>
        <w:autoSpaceDN/>
        <w:bidi w:val="0"/>
        <w:spacing w:before="0" w:line="360" w:lineRule="auto"/>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1.</w:t>
      </w:r>
      <w:r>
        <w:rPr>
          <w:rFonts w:hint="eastAsia" w:ascii="仿宋_GB2312" w:hAnsi="仿宋_GB2312" w:eastAsia="仿宋_GB2312" w:cs="仿宋_GB2312"/>
          <w:b w:val="0"/>
          <w:bCs w:val="0"/>
          <w:color w:val="auto"/>
          <w:sz w:val="32"/>
          <w:szCs w:val="32"/>
          <w:u w:val="none"/>
        </w:rPr>
        <w:t>教育管理事务（款）机关服务支出（项）。年初预算</w:t>
      </w:r>
      <w:r>
        <w:rPr>
          <w:rFonts w:hint="eastAsia" w:ascii="仿宋_GB2312" w:hAnsi="仿宋_GB2312" w:eastAsia="仿宋_GB2312" w:cs="仿宋_GB2312"/>
          <w:b w:val="0"/>
          <w:bCs w:val="0"/>
          <w:color w:val="auto"/>
          <w:sz w:val="32"/>
          <w:szCs w:val="32"/>
          <w:u w:val="none"/>
          <w:lang w:val="en-US" w:eastAsia="zh-CN"/>
        </w:rPr>
        <w:t>109.20</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增加</w:t>
      </w:r>
      <w:r>
        <w:rPr>
          <w:rFonts w:hint="eastAsia" w:ascii="仿宋_GB2312" w:hAnsi="仿宋_GB2312" w:eastAsia="仿宋_GB2312" w:cs="仿宋_GB2312"/>
          <w:b w:val="0"/>
          <w:bCs w:val="0"/>
          <w:color w:val="auto"/>
          <w:sz w:val="32"/>
          <w:szCs w:val="32"/>
          <w:u w:val="none"/>
          <w:lang w:val="en-US" w:eastAsia="zh-CN"/>
        </w:rPr>
        <w:t>0.16</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增长</w:t>
      </w:r>
      <w:r>
        <w:rPr>
          <w:rFonts w:hint="eastAsia" w:ascii="仿宋_GB2312" w:hAnsi="仿宋_GB2312" w:eastAsia="仿宋_GB2312" w:cs="仿宋_GB2312"/>
          <w:b w:val="0"/>
          <w:bCs w:val="0"/>
          <w:color w:val="auto"/>
          <w:sz w:val="32"/>
          <w:szCs w:val="32"/>
          <w:u w:val="none"/>
          <w:lang w:val="en-US" w:eastAsia="zh-CN"/>
        </w:rPr>
        <w:t>0.15</w:t>
      </w:r>
      <w:r>
        <w:rPr>
          <w:rFonts w:hint="eastAsia" w:ascii="仿宋_GB2312" w:hAnsi="仿宋_GB2312" w:eastAsia="仿宋_GB2312" w:cs="仿宋_GB2312"/>
          <w:b w:val="0"/>
          <w:bCs w:val="0"/>
          <w:color w:val="auto"/>
          <w:sz w:val="32"/>
          <w:szCs w:val="32"/>
          <w:u w:val="none"/>
        </w:rPr>
        <w:t>%。变动原因：</w:t>
      </w:r>
      <w:r>
        <w:rPr>
          <w:rFonts w:hint="eastAsia" w:ascii="仿宋_GB2312" w:hAnsi="仿宋_GB2312" w:eastAsia="仿宋_GB2312" w:cs="仿宋_GB2312"/>
          <w:b w:val="0"/>
          <w:bCs w:val="0"/>
          <w:color w:val="auto"/>
          <w:sz w:val="32"/>
          <w:szCs w:val="32"/>
          <w:u w:val="none"/>
          <w:lang w:eastAsia="zh-CN"/>
        </w:rPr>
        <w:t>人员调资正常变动。</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2.</w:t>
      </w:r>
      <w:r>
        <w:rPr>
          <w:rFonts w:hint="eastAsia" w:ascii="仿宋_GB2312" w:hAnsi="仿宋_GB2312" w:eastAsia="仿宋_GB2312" w:cs="仿宋_GB2312"/>
          <w:b w:val="0"/>
          <w:bCs w:val="0"/>
          <w:color w:val="auto"/>
          <w:sz w:val="32"/>
          <w:szCs w:val="32"/>
          <w:u w:val="none"/>
        </w:rPr>
        <w:t>普通教育（款）学前教育（项）。年初预算</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698</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下降</w:t>
      </w:r>
      <w:r>
        <w:rPr>
          <w:rFonts w:hint="eastAsia" w:ascii="仿宋_GB2312" w:hAnsi="仿宋_GB2312" w:eastAsia="仿宋_GB2312" w:cs="仿宋_GB2312"/>
          <w:b w:val="0"/>
          <w:bCs w:val="0"/>
          <w:color w:val="auto"/>
          <w:sz w:val="32"/>
          <w:szCs w:val="32"/>
          <w:u w:val="none"/>
          <w:lang w:val="en-US" w:eastAsia="zh-CN"/>
        </w:rPr>
        <w:t>100</w:t>
      </w:r>
      <w:r>
        <w:rPr>
          <w:rFonts w:hint="eastAsia" w:ascii="仿宋_GB2312" w:hAnsi="仿宋_GB2312" w:eastAsia="仿宋_GB2312" w:cs="仿宋_GB2312"/>
          <w:b w:val="0"/>
          <w:bCs w:val="0"/>
          <w:color w:val="auto"/>
          <w:sz w:val="32"/>
          <w:szCs w:val="32"/>
          <w:u w:val="none"/>
        </w:rPr>
        <w:t>%。变动原因：</w:t>
      </w:r>
      <w:r>
        <w:rPr>
          <w:rFonts w:hint="eastAsia" w:ascii="仿宋_GB2312" w:hAnsi="仿宋_GB2312" w:eastAsia="仿宋_GB2312" w:cs="仿宋_GB2312"/>
          <w:b w:val="0"/>
          <w:bCs w:val="0"/>
          <w:color w:val="auto"/>
          <w:sz w:val="32"/>
          <w:szCs w:val="32"/>
          <w:u w:val="none"/>
          <w:lang w:eastAsia="zh-CN"/>
        </w:rPr>
        <w:t>此项资金为对旗县的转移支付，上年由我单位代编预算，本年未在我单位报预算</w:t>
      </w:r>
      <w:r>
        <w:rPr>
          <w:rFonts w:hint="eastAsia" w:ascii="仿宋_GB2312" w:hAnsi="仿宋_GB2312" w:eastAsia="仿宋_GB2312" w:cs="仿宋_GB2312"/>
          <w:b w:val="0"/>
          <w:bCs w:val="0"/>
          <w:color w:val="auto"/>
          <w:sz w:val="32"/>
          <w:szCs w:val="32"/>
          <w:u w:val="none"/>
        </w:rPr>
        <w:t>。</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3.</w:t>
      </w:r>
      <w:r>
        <w:rPr>
          <w:rFonts w:hint="eastAsia" w:ascii="仿宋_GB2312" w:hAnsi="仿宋_GB2312" w:eastAsia="仿宋_GB2312" w:cs="仿宋_GB2312"/>
          <w:b w:val="0"/>
          <w:bCs w:val="0"/>
          <w:color w:val="auto"/>
          <w:sz w:val="32"/>
          <w:szCs w:val="32"/>
          <w:u w:val="none"/>
        </w:rPr>
        <w:t>普通教育（款）高中教育（项）。年初预算</w:t>
      </w:r>
      <w:r>
        <w:rPr>
          <w:rFonts w:hint="eastAsia" w:ascii="仿宋_GB2312" w:hAnsi="仿宋_GB2312" w:eastAsia="仿宋_GB2312" w:cs="仿宋_GB2312"/>
          <w:b w:val="0"/>
          <w:bCs w:val="0"/>
          <w:color w:val="auto"/>
          <w:sz w:val="32"/>
          <w:szCs w:val="32"/>
          <w:u w:val="none"/>
          <w:lang w:val="en-US" w:eastAsia="zh-CN"/>
        </w:rPr>
        <w:t>179.98</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1182.92</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86.79</w:t>
      </w:r>
      <w:r>
        <w:rPr>
          <w:rFonts w:hint="eastAsia" w:ascii="仿宋_GB2312" w:hAnsi="仿宋_GB2312" w:eastAsia="仿宋_GB2312" w:cs="仿宋_GB2312"/>
          <w:b w:val="0"/>
          <w:bCs w:val="0"/>
          <w:color w:val="auto"/>
          <w:sz w:val="32"/>
          <w:szCs w:val="32"/>
          <w:u w:val="none"/>
        </w:rPr>
        <w:t xml:space="preserve"> %。变动原因：</w:t>
      </w:r>
      <w:r>
        <w:rPr>
          <w:rFonts w:hint="eastAsia" w:ascii="仿宋_GB2312" w:hAnsi="仿宋_GB2312" w:eastAsia="仿宋_GB2312" w:cs="仿宋_GB2312"/>
          <w:b w:val="0"/>
          <w:bCs w:val="0"/>
          <w:color w:val="auto"/>
          <w:sz w:val="32"/>
          <w:szCs w:val="32"/>
          <w:u w:val="none"/>
          <w:lang w:eastAsia="zh-CN"/>
        </w:rPr>
        <w:t>此项资金包括盟直学校和对旗县的转移支付两部分，上年此项资金预算全部由我单位申报，本年度我单位只负责申报盟直学校部分。</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hAnsi="仿宋_GB2312" w:eastAsia="仿宋_GB2312" w:cs="仿宋_GB2312"/>
          <w:b w:val="0"/>
          <w:bCs w:val="0"/>
          <w:color w:val="auto"/>
          <w:sz w:val="32"/>
          <w:szCs w:val="32"/>
          <w:u w:val="none"/>
        </w:rPr>
        <w:t>普通教育（款）高等教育（项）。年初预算</w:t>
      </w:r>
      <w:r>
        <w:rPr>
          <w:rFonts w:hint="eastAsia" w:ascii="仿宋_GB2312" w:hAnsi="仿宋_GB2312" w:eastAsia="仿宋_GB2312" w:cs="仿宋_GB2312"/>
          <w:b w:val="0"/>
          <w:bCs w:val="0"/>
          <w:color w:val="auto"/>
          <w:sz w:val="32"/>
          <w:szCs w:val="32"/>
          <w:u w:val="none"/>
          <w:lang w:val="en-US" w:eastAsia="zh-CN"/>
        </w:rPr>
        <w:t>356.00</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增加</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增长</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5.</w:t>
      </w:r>
      <w:r>
        <w:rPr>
          <w:rFonts w:hint="eastAsia" w:ascii="仿宋_GB2312" w:hAnsi="仿宋_GB2312" w:eastAsia="仿宋_GB2312" w:cs="仿宋_GB2312"/>
          <w:b w:val="0"/>
          <w:bCs w:val="0"/>
          <w:color w:val="auto"/>
          <w:sz w:val="32"/>
          <w:szCs w:val="32"/>
          <w:u w:val="none"/>
        </w:rPr>
        <w:t>普通教育（款）其他普通教育支出（项）。年初预算</w:t>
      </w:r>
      <w:r>
        <w:rPr>
          <w:rFonts w:hint="eastAsia" w:ascii="仿宋_GB2312" w:hAnsi="仿宋_GB2312" w:eastAsia="仿宋_GB2312" w:cs="仿宋_GB2312"/>
          <w:b w:val="0"/>
          <w:bCs w:val="0"/>
          <w:color w:val="auto"/>
          <w:sz w:val="32"/>
          <w:szCs w:val="32"/>
          <w:u w:val="none"/>
          <w:lang w:val="en-US" w:eastAsia="zh-CN"/>
        </w:rPr>
        <w:t>4.10</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135.1</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97.05</w:t>
      </w:r>
      <w:r>
        <w:rPr>
          <w:rFonts w:hint="eastAsia" w:ascii="仿宋_GB2312" w:hAnsi="仿宋_GB2312" w:eastAsia="仿宋_GB2312" w:cs="仿宋_GB2312"/>
          <w:b w:val="0"/>
          <w:bCs w:val="0"/>
          <w:color w:val="auto"/>
          <w:sz w:val="32"/>
          <w:szCs w:val="32"/>
          <w:u w:val="none"/>
        </w:rPr>
        <w:t>%。变动原因：</w:t>
      </w:r>
      <w:r>
        <w:rPr>
          <w:rFonts w:hint="eastAsia" w:ascii="仿宋_GB2312" w:hAnsi="仿宋_GB2312" w:eastAsia="仿宋_GB2312" w:cs="仿宋_GB2312"/>
          <w:b w:val="0"/>
          <w:bCs w:val="0"/>
          <w:color w:val="auto"/>
          <w:sz w:val="32"/>
          <w:szCs w:val="32"/>
          <w:u w:val="none"/>
          <w:lang w:eastAsia="zh-CN"/>
        </w:rPr>
        <w:t>此项资金包括盟直学校和对旗县的转移支付两部分，上年此项资金预算全部由我单位申报，本年度我单位只负责申报盟直学校部分。</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6.</w:t>
      </w:r>
      <w:r>
        <w:rPr>
          <w:rFonts w:hint="eastAsia" w:ascii="仿宋_GB2312" w:hAnsi="仿宋_GB2312" w:eastAsia="仿宋_GB2312" w:cs="仿宋_GB2312"/>
          <w:b w:val="0"/>
          <w:bCs w:val="0"/>
          <w:color w:val="auto"/>
          <w:sz w:val="32"/>
          <w:szCs w:val="32"/>
          <w:u w:val="none"/>
        </w:rPr>
        <w:t>职业教育（款）中等职业教育（项）。年初预算</w:t>
      </w:r>
      <w:r>
        <w:rPr>
          <w:rFonts w:hint="eastAsia" w:ascii="仿宋_GB2312" w:hAnsi="仿宋_GB2312" w:eastAsia="仿宋_GB2312" w:cs="仿宋_GB2312"/>
          <w:b w:val="0"/>
          <w:bCs w:val="0"/>
          <w:color w:val="auto"/>
          <w:sz w:val="32"/>
          <w:szCs w:val="32"/>
          <w:u w:val="none"/>
          <w:lang w:val="en-US" w:eastAsia="zh-CN"/>
        </w:rPr>
        <w:t>0</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717.2</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减少</w:t>
      </w:r>
      <w:r>
        <w:rPr>
          <w:rFonts w:hint="eastAsia" w:ascii="仿宋_GB2312" w:hAnsi="仿宋_GB2312" w:eastAsia="仿宋_GB2312" w:cs="仿宋_GB2312"/>
          <w:b w:val="0"/>
          <w:bCs w:val="0"/>
          <w:color w:val="auto"/>
          <w:sz w:val="32"/>
          <w:szCs w:val="32"/>
          <w:u w:val="none"/>
          <w:lang w:val="en-US" w:eastAsia="zh-CN"/>
        </w:rPr>
        <w:t>100</w:t>
      </w:r>
      <w:r>
        <w:rPr>
          <w:rFonts w:hint="eastAsia" w:ascii="仿宋_GB2312" w:hAnsi="仿宋_GB2312" w:eastAsia="仿宋_GB2312" w:cs="仿宋_GB2312"/>
          <w:b w:val="0"/>
          <w:bCs w:val="0"/>
          <w:color w:val="auto"/>
          <w:sz w:val="32"/>
          <w:szCs w:val="32"/>
          <w:u w:val="none"/>
        </w:rPr>
        <w:t>%。变动原因：</w:t>
      </w:r>
      <w:r>
        <w:rPr>
          <w:rFonts w:hint="eastAsia" w:ascii="仿宋_GB2312" w:hAnsi="仿宋_GB2312" w:eastAsia="仿宋_GB2312" w:cs="仿宋_GB2312"/>
          <w:b w:val="0"/>
          <w:bCs w:val="0"/>
          <w:color w:val="auto"/>
          <w:sz w:val="32"/>
          <w:szCs w:val="32"/>
          <w:u w:val="none"/>
          <w:lang w:eastAsia="zh-CN"/>
        </w:rPr>
        <w:t>此项资金预算上年由我单位代编，本年由锡林郭勒职业学院和各旗县编报。</w:t>
      </w:r>
    </w:p>
    <w:p>
      <w:pPr>
        <w:keepNext w:val="0"/>
        <w:keepLines w:val="0"/>
        <w:pageBreakBefore w:val="0"/>
        <w:kinsoku/>
        <w:wordWrap/>
        <w:overflowPunct/>
        <w:topLinePunct w:val="0"/>
        <w:autoSpaceDE/>
        <w:autoSpaceDN/>
        <w:bidi w:val="0"/>
        <w:spacing w:before="0" w:line="360" w:lineRule="auto"/>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rPr>
        <w:t>社会保障和就业（类）</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rPr>
        <w:t>行政事业单位养老（款） 机关事业单位基本养老保险缴费支出（项）。年初预算</w:t>
      </w:r>
      <w:r>
        <w:rPr>
          <w:rFonts w:hint="eastAsia" w:ascii="仿宋_GB2312" w:hAnsi="仿宋_GB2312" w:eastAsia="仿宋_GB2312" w:cs="仿宋_GB2312"/>
          <w:b w:val="0"/>
          <w:bCs w:val="0"/>
          <w:color w:val="auto"/>
          <w:sz w:val="32"/>
          <w:szCs w:val="32"/>
          <w:u w:val="none"/>
          <w:lang w:val="en-US" w:eastAsia="zh-CN"/>
        </w:rPr>
        <w:t>12.94</w:t>
      </w:r>
      <w:r>
        <w:rPr>
          <w:rFonts w:hint="eastAsia" w:ascii="仿宋_GB2312" w:hAnsi="仿宋_GB2312" w:eastAsia="仿宋_GB2312" w:cs="仿宋_GB2312"/>
          <w:b w:val="0"/>
          <w:bCs w:val="0"/>
          <w:color w:val="auto"/>
          <w:sz w:val="32"/>
          <w:szCs w:val="32"/>
          <w:u w:val="none"/>
        </w:rPr>
        <w:t>万元，与上年相比</w:t>
      </w:r>
      <w:r>
        <w:rPr>
          <w:rFonts w:hint="eastAsia" w:ascii="仿宋_GB2312" w:hAnsi="仿宋_GB2312" w:eastAsia="仿宋_GB2312" w:cs="仿宋_GB2312"/>
          <w:b w:val="0"/>
          <w:bCs w:val="0"/>
          <w:color w:val="auto"/>
          <w:sz w:val="32"/>
          <w:szCs w:val="32"/>
          <w:u w:val="none"/>
          <w:lang w:eastAsia="zh-CN"/>
        </w:rPr>
        <w:t>增加</w:t>
      </w:r>
      <w:r>
        <w:rPr>
          <w:rFonts w:hint="eastAsia" w:ascii="仿宋_GB2312" w:hAnsi="仿宋_GB2312" w:eastAsia="仿宋_GB2312" w:cs="仿宋_GB2312"/>
          <w:b w:val="0"/>
          <w:bCs w:val="0"/>
          <w:color w:val="auto"/>
          <w:sz w:val="32"/>
          <w:szCs w:val="32"/>
          <w:u w:val="none"/>
          <w:lang w:val="en-US" w:eastAsia="zh-CN"/>
        </w:rPr>
        <w:t>0.07</w:t>
      </w:r>
      <w:r>
        <w:rPr>
          <w:rFonts w:hint="eastAsia" w:ascii="仿宋_GB2312" w:hAnsi="仿宋_GB2312" w:eastAsia="仿宋_GB2312" w:cs="仿宋_GB2312"/>
          <w:b w:val="0"/>
          <w:bCs w:val="0"/>
          <w:color w:val="auto"/>
          <w:sz w:val="32"/>
          <w:szCs w:val="32"/>
          <w:u w:val="none"/>
        </w:rPr>
        <w:t>万元，</w:t>
      </w:r>
      <w:r>
        <w:rPr>
          <w:rFonts w:hint="eastAsia" w:ascii="仿宋_GB2312" w:hAnsi="仿宋_GB2312" w:eastAsia="仿宋_GB2312" w:cs="仿宋_GB2312"/>
          <w:b w:val="0"/>
          <w:bCs w:val="0"/>
          <w:color w:val="auto"/>
          <w:sz w:val="32"/>
          <w:szCs w:val="32"/>
          <w:u w:val="none"/>
          <w:lang w:eastAsia="zh-CN"/>
        </w:rPr>
        <w:t>增长</w:t>
      </w:r>
      <w:r>
        <w:rPr>
          <w:rFonts w:hint="eastAsia" w:ascii="仿宋_GB2312" w:hAnsi="仿宋_GB2312" w:eastAsia="仿宋_GB2312" w:cs="仿宋_GB2312"/>
          <w:b w:val="0"/>
          <w:bCs w:val="0"/>
          <w:color w:val="auto"/>
          <w:sz w:val="32"/>
          <w:szCs w:val="32"/>
          <w:u w:val="none"/>
          <w:lang w:val="en-US" w:eastAsia="zh-CN"/>
        </w:rPr>
        <w:t>0.55</w:t>
      </w:r>
      <w:r>
        <w:rPr>
          <w:rFonts w:hint="eastAsia" w:ascii="仿宋_GB2312" w:hAnsi="仿宋_GB2312" w:eastAsia="仿宋_GB2312" w:cs="仿宋_GB2312"/>
          <w:b w:val="0"/>
          <w:bCs w:val="0"/>
          <w:color w:val="auto"/>
          <w:sz w:val="32"/>
          <w:szCs w:val="32"/>
          <w:u w:val="none"/>
        </w:rPr>
        <w:t>%。变动原因：</w:t>
      </w:r>
      <w:r>
        <w:rPr>
          <w:rFonts w:hint="eastAsia" w:ascii="仿宋_GB2312" w:eastAsia="仿宋_GB2312"/>
          <w:color w:val="auto"/>
          <w:sz w:val="32"/>
          <w:szCs w:val="32"/>
          <w:u w:val="none"/>
          <w:lang w:eastAsia="zh-CN"/>
        </w:rPr>
        <w:t>人员调资，缴费工资基数增加，导致养老保险支出增加</w:t>
      </w:r>
      <w:r>
        <w:rPr>
          <w:rFonts w:hint="eastAsia" w:ascii="仿宋_GB2312" w:hAnsi="仿宋_GB2312" w:eastAsia="仿宋_GB2312" w:cs="仿宋_GB2312"/>
          <w:b w:val="0"/>
          <w:bCs w:val="0"/>
          <w:color w:val="auto"/>
          <w:sz w:val="32"/>
          <w:szCs w:val="32"/>
          <w:u w:val="none"/>
          <w:lang w:eastAsia="zh-CN"/>
        </w:rPr>
        <w:t>。</w:t>
      </w:r>
    </w:p>
    <w:p>
      <w:pPr>
        <w:pStyle w:val="18"/>
        <w:keepNext w:val="0"/>
        <w:keepLines w:val="0"/>
        <w:pageBreakBefore w:val="0"/>
        <w:numPr>
          <w:ilvl w:val="0"/>
          <w:numId w:val="3"/>
        </w:numPr>
        <w:kinsoku/>
        <w:wordWrap/>
        <w:overflowPunct/>
        <w:topLinePunct w:val="0"/>
        <w:autoSpaceDE/>
        <w:autoSpaceDN/>
        <w:bidi w:val="0"/>
        <w:spacing w:before="0" w:after="0" w:line="360" w:lineRule="auto"/>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rPr>
        <w:t>卫生健康</w:t>
      </w:r>
      <w:r>
        <w:rPr>
          <w:rFonts w:hint="eastAsia" w:ascii="仿宋_GB2312" w:hAnsi="仿宋_GB2312" w:eastAsia="仿宋_GB2312" w:cs="仿宋_GB2312"/>
          <w:color w:val="auto"/>
          <w:sz w:val="32"/>
          <w:szCs w:val="32"/>
          <w:u w:val="none"/>
          <w:lang w:eastAsia="zh-CN"/>
        </w:rPr>
        <w:t>（类</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default"/>
          <w:color w:val="auto"/>
          <w:lang w:val="en-US" w:eastAsia="zh-CN"/>
        </w:rPr>
      </w:pPr>
      <w:r>
        <w:rPr>
          <w:rFonts w:hint="eastAsia" w:ascii="仿宋_GB2312" w:hAnsi="仿宋_GB2312" w:eastAsia="仿宋_GB2312" w:cs="仿宋_GB2312"/>
          <w:color w:val="auto"/>
          <w:sz w:val="32"/>
          <w:szCs w:val="32"/>
          <w:u w:val="none"/>
          <w:lang w:val="en-US" w:eastAsia="zh-CN"/>
        </w:rPr>
        <w:t>1.公共卫生（款）突发公共卫生事件应急处理（项）。年初预算0万元，与上年相比减少1.44万元，减少100 %。变动原因：上年1.44万元为疫情防控资金，本年无此项资金。</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eastAsia"/>
          <w:color w:val="auto"/>
          <w:lang w:eastAsia="zh-CN"/>
        </w:rPr>
      </w:pPr>
      <w:r>
        <w:rPr>
          <w:rFonts w:hint="eastAsia" w:ascii="仿宋_GB2312" w:hAnsi="仿宋_GB2312" w:eastAsia="仿宋_GB2312" w:cs="仿宋_GB2312"/>
          <w:color w:val="auto"/>
          <w:sz w:val="32"/>
          <w:szCs w:val="32"/>
          <w:u w:val="none"/>
          <w:lang w:val="en-US" w:eastAsia="zh-CN"/>
        </w:rPr>
        <w:t>2.行政事业单位医疗（款）事业单位医疗（项）。年初预算4.92万元，与上年相比增加0.07万元，增长1.42%。变动原因：</w:t>
      </w:r>
      <w:r>
        <w:rPr>
          <w:rFonts w:hint="eastAsia" w:ascii="仿宋_GB2312" w:eastAsia="仿宋_GB2312"/>
          <w:color w:val="auto"/>
          <w:sz w:val="32"/>
          <w:szCs w:val="32"/>
          <w:u w:val="none"/>
          <w:lang w:eastAsia="zh-CN"/>
        </w:rPr>
        <w:t>人员调资，缴费工资基数增加，导致医疗保险支出增加</w:t>
      </w:r>
      <w:r>
        <w:rPr>
          <w:rFonts w:hint="eastAsia" w:ascii="仿宋_GB2312" w:eastAsia="仿宋_GB2312"/>
          <w:color w:val="auto"/>
          <w:sz w:val="32"/>
          <w:szCs w:val="32"/>
          <w:u w:val="none"/>
        </w:rPr>
        <w:t>。</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eastAsia"/>
          <w:color w:val="auto"/>
          <w:lang w:eastAsia="zh-CN"/>
        </w:rPr>
      </w:pPr>
      <w:r>
        <w:rPr>
          <w:rFonts w:hint="eastAsia" w:ascii="仿宋_GB2312" w:hAnsi="仿宋_GB2312" w:eastAsia="仿宋_GB2312" w:cs="仿宋_GB2312"/>
          <w:color w:val="auto"/>
          <w:sz w:val="32"/>
          <w:szCs w:val="32"/>
          <w:u w:val="none"/>
          <w:lang w:val="en-US" w:eastAsia="zh-CN"/>
        </w:rPr>
        <w:t>3.行政事业单位医疗（款）公务员医疗补助（项）。年初预算0.75万元，与上年相比增加0万元，增长0%。</w:t>
      </w:r>
    </w:p>
    <w:p>
      <w:pPr>
        <w:pStyle w:val="18"/>
        <w:keepNext w:val="0"/>
        <w:keepLines w:val="0"/>
        <w:pageBreakBefore w:val="0"/>
        <w:kinsoku/>
        <w:wordWrap/>
        <w:overflowPunct/>
        <w:topLinePunct w:val="0"/>
        <w:autoSpaceDE/>
        <w:autoSpaceDN/>
        <w:bidi w:val="0"/>
        <w:spacing w:before="0" w:after="0" w:line="360" w:lineRule="auto"/>
        <w:ind w:left="0" w:leftChars="0"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（四）</w:t>
      </w:r>
      <w:r>
        <w:rPr>
          <w:rFonts w:hint="eastAsia" w:ascii="仿宋_GB2312" w:hAnsi="仿宋_GB2312" w:eastAsia="仿宋_GB2312" w:cs="仿宋_GB2312"/>
          <w:color w:val="auto"/>
          <w:sz w:val="32"/>
          <w:szCs w:val="32"/>
          <w:u w:val="none"/>
        </w:rPr>
        <w:t>住房保障</w:t>
      </w:r>
      <w:r>
        <w:rPr>
          <w:rFonts w:hint="eastAsia" w:ascii="仿宋_GB2312" w:hAnsi="仿宋_GB2312" w:eastAsia="仿宋_GB2312" w:cs="仿宋_GB2312"/>
          <w:color w:val="auto"/>
          <w:sz w:val="32"/>
          <w:szCs w:val="32"/>
          <w:u w:val="none"/>
          <w:lang w:eastAsia="zh-CN"/>
        </w:rPr>
        <w:t>（类</w:t>
      </w:r>
      <w:r>
        <w:rPr>
          <w:rFonts w:hint="eastAsia" w:ascii="仿宋_GB2312" w:hAnsi="仿宋_GB2312" w:eastAsia="仿宋_GB2312" w:cs="仿宋_GB2312"/>
          <w:color w:val="auto"/>
          <w:sz w:val="32"/>
          <w:szCs w:val="32"/>
          <w:u w:val="none"/>
          <w:lang w:val="en-US" w:eastAsia="zh-CN"/>
        </w:rPr>
        <w:t>)</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eastAsia" w:ascii="仿宋_GB2312" w:eastAsia="仿宋_GB2312"/>
          <w:color w:val="auto"/>
          <w:sz w:val="32"/>
          <w:szCs w:val="32"/>
          <w:u w:val="none"/>
        </w:rPr>
      </w:pPr>
      <w:r>
        <w:rPr>
          <w:rFonts w:hint="eastAsia" w:ascii="仿宋_GB2312" w:hAnsi="仿宋_GB2312" w:eastAsia="仿宋_GB2312" w:cs="仿宋_GB2312"/>
          <w:color w:val="auto"/>
          <w:sz w:val="32"/>
          <w:szCs w:val="32"/>
          <w:u w:val="none"/>
          <w:lang w:val="en-US" w:eastAsia="zh-CN"/>
        </w:rPr>
        <w:t>住房改革支出（款）住房公积金（项）。年初预算12.23万元，与上年相比增加0.37万元，增长3.14 %。变动原因：</w:t>
      </w:r>
      <w:r>
        <w:rPr>
          <w:rFonts w:hint="eastAsia" w:ascii="仿宋_GB2312" w:eastAsia="仿宋_GB2312"/>
          <w:color w:val="auto"/>
          <w:sz w:val="32"/>
          <w:szCs w:val="32"/>
          <w:u w:val="none"/>
          <w:lang w:eastAsia="zh-CN"/>
        </w:rPr>
        <w:t>人员调资，缴费工资基数增加，导致住房保障类支出增加</w:t>
      </w:r>
      <w:r>
        <w:rPr>
          <w:rFonts w:hint="eastAsia" w:ascii="仿宋_GB2312" w:eastAsia="仿宋_GB2312"/>
          <w:color w:val="auto"/>
          <w:sz w:val="32"/>
          <w:szCs w:val="32"/>
          <w:u w:val="none"/>
        </w:rPr>
        <w:t>。</w:t>
      </w:r>
    </w:p>
    <w:p>
      <w:pPr>
        <w:keepNext w:val="0"/>
        <w:keepLines w:val="0"/>
        <w:pageBreakBefore w:val="0"/>
        <w:kinsoku/>
        <w:wordWrap/>
        <w:overflowPunct/>
        <w:topLinePunct w:val="0"/>
        <w:autoSpaceDE/>
        <w:autoSpaceDN/>
        <w:bidi w:val="0"/>
        <w:adjustRightInd w:val="0"/>
        <w:snapToGrid w:val="0"/>
        <w:spacing w:before="0" w:line="360" w:lineRule="auto"/>
        <w:ind w:firstLine="640"/>
        <w:textAlignment w:val="auto"/>
        <w:rPr>
          <w:rFonts w:hint="eastAsia" w:ascii="仿宋_GB2312" w:eastAsia="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住房改革支出（款）购房补贴（项）。年初预算5.75万元，与上年相比增加5.75万元，增长100 %。变动原因：上年此项预算功能分类选择成了机关服务，导致项目无预算</w:t>
      </w:r>
      <w:r>
        <w:rPr>
          <w:rFonts w:hint="eastAsia" w:ascii="仿宋_GB2312" w:eastAsia="仿宋_GB2312"/>
          <w:color w:val="auto"/>
          <w:sz w:val="32"/>
          <w:szCs w:val="32"/>
          <w:u w:val="none"/>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六、一般公共预算基本支出预算情况说明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锡林郭勒盟教育局综合保障中心单位202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年度一般公共预算财政拨款基本支出预算</w:t>
      </w:r>
      <w:r>
        <w:rPr>
          <w:rFonts w:hint="default" w:ascii="Times New Roman" w:hAnsi="Times New Roman" w:eastAsia="仿宋_GB2312" w:cs="Times New Roman"/>
          <w:sz w:val="32"/>
          <w:szCs w:val="32"/>
          <w:u w:val="single"/>
        </w:rPr>
        <w:t>145.80</w:t>
      </w:r>
      <w:r>
        <w:rPr>
          <w:rFonts w:hint="default" w:ascii="Times New Roman" w:hAnsi="Times New Roman" w:eastAsia="仿宋_GB2312" w:cs="Times New Roman"/>
          <w:sz w:val="32"/>
          <w:szCs w:val="32"/>
        </w:rPr>
        <w:t>万元，其中：</w:t>
      </w:r>
    </w:p>
    <w:p>
      <w:pPr>
        <w:pStyle w:val="8"/>
        <w:pageBreakBefore w:val="0"/>
        <w:numPr>
          <w:ilvl w:val="0"/>
          <w:numId w:val="4"/>
        </w:numPr>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b/>
          <w:bCs/>
          <w:sz w:val="32"/>
          <w:szCs w:val="32"/>
          <w:u w:val="single"/>
        </w:rPr>
        <w:t>139.17</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。主要包括：基本工资、津贴补贴、奖金、绩效工资、机关事业单位基本养老保险缴费、职工基本医疗保险缴费、公务员医疗补助缴费、其他社会保障缴费、住房公积金、其他工资福利支出等。</w:t>
      </w:r>
    </w:p>
    <w:p>
      <w:pPr>
        <w:pStyle w:val="8"/>
        <w:pageBreakBefore w:val="0"/>
        <w:numPr>
          <w:ilvl w:val="0"/>
          <w:numId w:val="0"/>
        </w:numPr>
        <w:tabs>
          <w:tab w:val="left" w:pos="2671"/>
          <w:tab w:val="left" w:pos="5000"/>
          <w:tab w:val="left" w:pos="6190"/>
        </w:tabs>
        <w:kinsoku/>
        <w:wordWrap/>
        <w:overflowPunct/>
        <w:topLinePunct w:val="0"/>
        <w:bidi w:val="0"/>
        <w:spacing w:after="0"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（二）公用经费</w:t>
      </w:r>
      <w:r>
        <w:rPr>
          <w:rFonts w:hint="default" w:ascii="Times New Roman" w:hAnsi="Times New Roman" w:eastAsia="仿宋_GB2312" w:cs="Times New Roman"/>
          <w:b/>
          <w:bCs/>
          <w:sz w:val="32"/>
          <w:szCs w:val="32"/>
          <w:u w:val="single"/>
        </w:rPr>
        <w:t>6.63</w:t>
      </w:r>
      <w:r>
        <w:rPr>
          <w:rFonts w:hint="default" w:ascii="Times New Roman" w:hAnsi="Times New Roman" w:eastAsia="仿宋_GB2312" w:cs="Times New Roman"/>
          <w:b/>
          <w:bCs/>
          <w:sz w:val="32"/>
          <w:szCs w:val="32"/>
        </w:rPr>
        <w:t>万元</w:t>
      </w:r>
      <w:r>
        <w:rPr>
          <w:rFonts w:hint="default" w:ascii="Times New Roman" w:hAnsi="Times New Roman" w:eastAsia="仿宋_GB2312" w:cs="Times New Roman"/>
          <w:sz w:val="32"/>
          <w:szCs w:val="32"/>
        </w:rPr>
        <w:t>。主要包括：办公费、差旅费、公务接待费、工会经费、福利费、公务用车运行维护费等。</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七、一般公共预算“三公”经费支出预算情况说明</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锡林郭勒盟教育局综合保障中心单位202</w:t>
      </w:r>
      <w:r>
        <w:rPr>
          <w:rFonts w:hint="eastAsia" w:eastAsia="仿宋_GB2312" w:cs="Times New Roman"/>
          <w:sz w:val="32"/>
          <w:szCs w:val="32"/>
          <w:u w:val="single"/>
          <w:lang w:val="en-US" w:eastAsia="zh-CN"/>
        </w:rPr>
        <w:t>4</w:t>
      </w:r>
      <w:r>
        <w:rPr>
          <w:rFonts w:hint="default" w:ascii="Times New Roman" w:hAnsi="Times New Roman" w:eastAsia="仿宋_GB2312" w:cs="Times New Roman"/>
          <w:sz w:val="32"/>
          <w:szCs w:val="32"/>
        </w:rPr>
        <w:t>年度一般公共预算拨款安排的“三公”经费预算支出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万元，其中因公出国（境）费支出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%；公务用车购置及运行维护费支出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%；公务接待费支出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万元，占“三公”经费的</w:t>
      </w:r>
      <w:r>
        <w:rPr>
          <w:rFonts w:hint="eastAsia" w:eastAsia="仿宋_GB2312" w:cs="Times New Roman"/>
          <w:sz w:val="32"/>
          <w:szCs w:val="32"/>
          <w:u w:val="single"/>
          <w:lang w:val="en-US" w:eastAsia="zh-CN"/>
        </w:rPr>
        <w:t>100</w:t>
      </w:r>
      <w:r>
        <w:rPr>
          <w:rFonts w:hint="default" w:ascii="Times New Roman" w:hAnsi="Times New Roman" w:eastAsia="仿宋_GB2312" w:cs="Times New Roman"/>
          <w:sz w:val="32"/>
          <w:szCs w:val="32"/>
        </w:rPr>
        <w:t>%。具体情况如下：</w:t>
      </w:r>
    </w:p>
    <w:p>
      <w:pPr>
        <w:pageBreakBefore w:val="0"/>
        <w:kinsoku/>
        <w:wordWrap/>
        <w:overflowPunct/>
        <w:topLinePunct w:val="0"/>
        <w:bidi w:val="0"/>
        <w:spacing w:line="600" w:lineRule="exact"/>
        <w:ind w:left="29" w:right="96" w:firstLine="65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一般公共预算拨款安排的“三公”经费预算支出</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0.2</w:t>
      </w:r>
      <w:r>
        <w:rPr>
          <w:rFonts w:hint="default" w:ascii="Times New Roman" w:hAnsi="Times New Roman" w:eastAsia="仿宋_GB2312" w:cs="Times New Roman"/>
          <w:spacing w:val="-4"/>
          <w:sz w:val="32"/>
          <w:szCs w:val="32"/>
        </w:rPr>
        <w:t>万元，比上年预</w:t>
      </w:r>
      <w:r>
        <w:rPr>
          <w:rFonts w:hint="default" w:ascii="Times New Roman" w:hAnsi="Times New Roman" w:eastAsia="仿宋_GB2312" w:cs="Times New Roman"/>
          <w:spacing w:val="-6"/>
          <w:sz w:val="32"/>
          <w:szCs w:val="32"/>
        </w:rPr>
        <w:t>算</w:t>
      </w:r>
      <w:r>
        <w:rPr>
          <w:rFonts w:hint="eastAsia" w:eastAsia="仿宋_GB2312" w:cs="Times New Roman"/>
          <w:spacing w:val="-6"/>
          <w:sz w:val="32"/>
          <w:szCs w:val="32"/>
          <w:lang w:eastAsia="zh-CN"/>
        </w:rPr>
        <w:t>减少</w:t>
      </w:r>
      <w:r>
        <w:rPr>
          <w:rFonts w:hint="eastAsia" w:eastAsia="仿宋_GB2312" w:cs="Times New Roman"/>
          <w:spacing w:val="-6"/>
          <w:sz w:val="32"/>
          <w:szCs w:val="32"/>
          <w:lang w:val="en-US" w:eastAsia="zh-CN"/>
        </w:rPr>
        <w:t>0.8</w:t>
      </w:r>
      <w:r>
        <w:rPr>
          <w:rFonts w:hint="default" w:ascii="Times New Roman" w:hAnsi="Times New Roman" w:eastAsia="仿宋_GB2312" w:cs="Times New Roman"/>
          <w:spacing w:val="-6"/>
          <w:sz w:val="32"/>
          <w:szCs w:val="32"/>
        </w:rPr>
        <w:t>万元，</w:t>
      </w:r>
      <w:r>
        <w:rPr>
          <w:rFonts w:hint="eastAsia" w:eastAsia="仿宋_GB2312" w:cs="Times New Roman"/>
          <w:sz w:val="32"/>
          <w:szCs w:val="32"/>
          <w:lang w:eastAsia="zh-CN"/>
        </w:rPr>
        <w:t>减少</w:t>
      </w:r>
      <w:r>
        <w:rPr>
          <w:rFonts w:hint="eastAsia" w:eastAsia="仿宋_GB2312" w:cs="Times New Roman"/>
          <w:sz w:val="32"/>
          <w:szCs w:val="32"/>
          <w:lang w:val="en-US" w:eastAsia="zh-CN"/>
        </w:rPr>
        <w:t>80</w:t>
      </w:r>
      <w:r>
        <w:rPr>
          <w:rFonts w:hint="default" w:ascii="Times New Roman" w:hAnsi="Times New Roman" w:eastAsia="仿宋_GB2312" w:cs="Times New Roman"/>
          <w:sz w:val="32"/>
          <w:szCs w:val="32"/>
        </w:rPr>
        <w:t>%</w:t>
      </w:r>
      <w:r>
        <w:rPr>
          <w:rFonts w:hint="default" w:ascii="Times New Roman" w:hAnsi="Times New Roman" w:eastAsia="仿宋_GB2312" w:cs="Times New Roman"/>
          <w:spacing w:val="-6"/>
          <w:sz w:val="32"/>
          <w:szCs w:val="32"/>
        </w:rPr>
        <w:t>；</w:t>
      </w:r>
      <w:r>
        <w:rPr>
          <w:rFonts w:hint="default" w:ascii="Times New Roman" w:hAnsi="Times New Roman" w:eastAsia="仿宋_GB2312" w:cs="Times New Roman"/>
          <w:spacing w:val="70"/>
          <w:sz w:val="32"/>
          <w:szCs w:val="32"/>
        </w:rPr>
        <w:t xml:space="preserve"> </w:t>
      </w:r>
      <w:r>
        <w:rPr>
          <w:rFonts w:hint="default" w:ascii="Times New Roman" w:hAnsi="Times New Roman" w:eastAsia="仿宋_GB2312" w:cs="Times New Roman"/>
          <w:spacing w:val="-4"/>
          <w:sz w:val="32"/>
          <w:szCs w:val="32"/>
        </w:rPr>
        <w:t>其中：</w:t>
      </w:r>
    </w:p>
    <w:p>
      <w:pPr>
        <w:pStyle w:val="8"/>
        <w:pageBreakBefore w:val="0"/>
        <w:kinsoku/>
        <w:wordWrap/>
        <w:overflowPunct/>
        <w:topLinePunct w:val="0"/>
        <w:bidi w:val="0"/>
        <w:spacing w:after="0" w:line="600" w:lineRule="exact"/>
        <w:ind w:left="17" w:leftChars="8"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1．因公出国（境）费预算支出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Style w:val="8"/>
        <w:pageBreakBefore w:val="0"/>
        <w:tabs>
          <w:tab w:val="left" w:pos="2671"/>
          <w:tab w:val="left" w:pos="5000"/>
          <w:tab w:val="left" w:pos="6190"/>
        </w:tabs>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2．公务用车购置及运行维护费预算支出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万元。其中：</w:t>
      </w:r>
      <w:r>
        <w:rPr>
          <w:rFonts w:hint="default" w:ascii="Times New Roman" w:hAnsi="Times New Roman" w:eastAsia="仿宋_GB2312" w:cs="Times New Roman"/>
          <w:sz w:val="32"/>
          <w:szCs w:val="32"/>
        </w:rPr>
        <w:tab/>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（1）公务用车购置预算支出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（2）公务用车运行维护费预算支出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万元，比上年预算减少</w:t>
      </w:r>
      <w:r>
        <w:rPr>
          <w:rFonts w:hint="eastAsia" w:eastAsia="仿宋_GB2312" w:cs="Times New Roman"/>
          <w:sz w:val="32"/>
          <w:szCs w:val="32"/>
          <w:lang w:val="en-US" w:eastAsia="zh-CN"/>
        </w:rPr>
        <w:t>0.8</w:t>
      </w:r>
      <w:r>
        <w:rPr>
          <w:rFonts w:hint="default" w:ascii="Times New Roman" w:hAnsi="Times New Roman" w:eastAsia="仿宋_GB2312" w:cs="Times New Roman"/>
          <w:sz w:val="32"/>
          <w:szCs w:val="32"/>
        </w:rPr>
        <w:t>万元，主要原因</w:t>
      </w:r>
      <w:r>
        <w:rPr>
          <w:rFonts w:hint="eastAsia" w:eastAsia="仿宋_GB2312" w:cs="Times New Roman"/>
          <w:sz w:val="32"/>
          <w:szCs w:val="32"/>
          <w:lang w:eastAsia="zh-CN"/>
        </w:rPr>
        <w:t>我单位公务用车已调拨至其他单位，本年无此预算</w:t>
      </w:r>
      <w:r>
        <w:rPr>
          <w:rFonts w:hint="default" w:ascii="Times New Roman" w:hAnsi="Times New Roman" w:eastAsia="仿宋_GB2312" w:cs="Times New Roman"/>
          <w:sz w:val="32"/>
          <w:szCs w:val="32"/>
        </w:rPr>
        <w:t>。</w:t>
      </w:r>
    </w:p>
    <w:p>
      <w:pPr>
        <w:pStyle w:val="8"/>
        <w:pageBreakBefore w:val="0"/>
        <w:kinsoku/>
        <w:wordWrap/>
        <w:overflowPunct/>
        <w:topLinePunct w:val="0"/>
        <w:bidi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3．公务接待费预算支出</w:t>
      </w:r>
      <w:r>
        <w:rPr>
          <w:rFonts w:hint="eastAsia" w:eastAsia="仿宋_GB2312" w:cs="Times New Roman"/>
          <w:sz w:val="32"/>
          <w:szCs w:val="32"/>
          <w:u w:val="single"/>
          <w:lang w:val="en-US" w:eastAsia="zh-CN"/>
        </w:rPr>
        <w:t>0.2</w:t>
      </w:r>
      <w:r>
        <w:rPr>
          <w:rFonts w:hint="default" w:ascii="Times New Roman" w:hAnsi="Times New Roman" w:eastAsia="仿宋_GB2312" w:cs="Times New Roman"/>
          <w:sz w:val="32"/>
          <w:szCs w:val="32"/>
        </w:rPr>
        <w:t>万元，比上年预算增加</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rPr>
        <w:t>万元。</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八、政府性基金预算支出预算情况说明</w:t>
      </w:r>
    </w:p>
    <w:p>
      <w:pPr>
        <w:pageBreakBefore w:val="0"/>
        <w:kinsoku/>
        <w:wordWrap/>
        <w:overflowPunct/>
        <w:topLinePunct w:val="0"/>
        <w:bidi w:val="0"/>
        <w:spacing w:line="600" w:lineRule="exact"/>
        <w:ind w:firstLine="640" w:firstLineChars="200"/>
        <w:outlineLvl w:val="0"/>
        <w:rPr>
          <w:rFonts w:hint="eastAsia" w:eastAsia="仿宋_GB2312" w:cs="Times New Roman"/>
          <w:color w:val="auto"/>
          <w:sz w:val="32"/>
          <w:szCs w:val="32"/>
          <w:highlight w:val="none"/>
          <w:u w:val="single"/>
          <w:lang w:eastAsia="zh-CN"/>
        </w:rPr>
      </w:pPr>
      <w:r>
        <w:rPr>
          <w:rFonts w:hint="eastAsia" w:ascii="仿宋" w:hAnsi="仿宋" w:eastAsia="仿宋" w:cs="仿宋"/>
          <w:i/>
          <w:iCs/>
          <w:sz w:val="32"/>
          <w:szCs w:val="32"/>
          <w:highlight w:val="none"/>
        </w:rPr>
        <w:t>本年无政府性基金预算拨款支出</w:t>
      </w:r>
      <w:r>
        <w:rPr>
          <w:rFonts w:hint="eastAsia" w:ascii="仿宋" w:hAnsi="仿宋" w:eastAsia="仿宋" w:cs="仿宋"/>
          <w:sz w:val="32"/>
          <w:szCs w:val="32"/>
          <w:highlight w:val="none"/>
        </w:rPr>
        <w:t>。</w:t>
      </w:r>
    </w:p>
    <w:p>
      <w:pPr>
        <w:pageBreakBefore w:val="0"/>
        <w:kinsoku/>
        <w:wordWrap/>
        <w:overflowPunct/>
        <w:topLinePunct w:val="0"/>
        <w:bidi w:val="0"/>
        <w:spacing w:line="600" w:lineRule="exact"/>
        <w:ind w:firstLine="640" w:firstLineChars="200"/>
        <w:outlineLvl w:val="0"/>
        <w:rPr>
          <w:rFonts w:eastAsia="黑体" w:cs="黑体"/>
          <w:b w:val="0"/>
          <w:bCs w:val="0"/>
          <w:sz w:val="32"/>
          <w:szCs w:val="36"/>
        </w:rPr>
      </w:pPr>
      <w:r>
        <w:rPr>
          <w:rFonts w:hint="eastAsia" w:eastAsia="黑体" w:cs="黑体"/>
          <w:b w:val="0"/>
          <w:bCs w:val="0"/>
          <w:sz w:val="32"/>
          <w:szCs w:val="36"/>
        </w:rPr>
        <w:t>九、国有资本经营预算支出预算情况说明</w:t>
      </w:r>
    </w:p>
    <w:p>
      <w:pPr>
        <w:pageBreakBefore w:val="0"/>
        <w:kinsoku/>
        <w:wordWrap/>
        <w:overflowPunct/>
        <w:topLinePunct w:val="0"/>
        <w:bidi w:val="0"/>
        <w:spacing w:line="600" w:lineRule="exact"/>
        <w:ind w:firstLine="640" w:firstLineChars="200"/>
        <w:rPr>
          <w:rFonts w:hint="eastAsia" w:eastAsia="仿宋_GB2312" w:cstheme="minorBidi"/>
          <w:i/>
          <w:iCs/>
          <w:color w:val="auto"/>
          <w:sz w:val="32"/>
          <w:szCs w:val="32"/>
          <w:highlight w:val="none"/>
        </w:rPr>
      </w:pPr>
      <w:r>
        <w:rPr>
          <w:rFonts w:hint="eastAsia" w:eastAsia="仿宋_GB2312" w:cstheme="minorBidi"/>
          <w:i/>
          <w:iCs/>
          <w:color w:val="auto"/>
          <w:sz w:val="32"/>
          <w:szCs w:val="32"/>
          <w:highlight w:val="none"/>
        </w:rPr>
        <w:t>本年无国有资本经营预算拨款支出</w:t>
      </w:r>
    </w:p>
    <w:p>
      <w:pPr>
        <w:pageBreakBefore w:val="0"/>
        <w:kinsoku/>
        <w:wordWrap/>
        <w:overflowPunct/>
        <w:topLinePunct w:val="0"/>
        <w:bidi w:val="0"/>
        <w:spacing w:line="600" w:lineRule="exact"/>
        <w:ind w:firstLine="640" w:firstLineChars="200"/>
        <w:rPr>
          <w:b w:val="0"/>
          <w:bCs w:val="0"/>
          <w:i/>
          <w:iCs/>
          <w:highlight w:val="yellow"/>
        </w:rPr>
      </w:pPr>
      <w:r>
        <w:rPr>
          <w:rFonts w:hint="eastAsia" w:eastAsia="黑体" w:cs="黑体"/>
          <w:b w:val="0"/>
          <w:bCs w:val="0"/>
          <w:sz w:val="32"/>
          <w:szCs w:val="36"/>
        </w:rPr>
        <w:t>十、项目支出预算情况说明</w:t>
      </w:r>
    </w:p>
    <w:p>
      <w:pPr>
        <w:pageBreakBefore w:val="0"/>
        <w:kinsoku/>
        <w:wordWrap/>
        <w:overflowPunct/>
        <w:topLinePunct w:val="0"/>
        <w:bidi w:val="0"/>
        <w:spacing w:line="60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年部门（单位）预算安排项目</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个，项目预算总金额</w:t>
      </w:r>
      <w:r>
        <w:rPr>
          <w:rFonts w:hint="default" w:ascii="Times New Roman" w:hAnsi="Times New Roman" w:eastAsia="仿宋_GB2312" w:cs="Times New Roman"/>
          <w:sz w:val="32"/>
          <w:szCs w:val="32"/>
          <w:u w:val="single"/>
        </w:rPr>
        <w:t>540.08</w:t>
      </w:r>
      <w:r>
        <w:rPr>
          <w:rFonts w:hint="default" w:ascii="Times New Roman" w:hAnsi="Times New Roman" w:eastAsia="仿宋_GB2312" w:cs="Times New Roman"/>
          <w:sz w:val="32"/>
          <w:szCs w:val="32"/>
        </w:rPr>
        <w:t>万元。其中，财政本年拨款金额</w:t>
      </w:r>
      <w:r>
        <w:rPr>
          <w:rFonts w:hint="default" w:ascii="Times New Roman" w:hAnsi="Times New Roman" w:eastAsia="仿宋_GB2312" w:cs="Times New Roman"/>
          <w:sz w:val="32"/>
          <w:szCs w:val="32"/>
          <w:u w:val="single"/>
        </w:rPr>
        <w:t>540.08</w:t>
      </w:r>
      <w:r>
        <w:rPr>
          <w:rFonts w:hint="default" w:ascii="Times New Roman" w:hAnsi="Times New Roman" w:eastAsia="仿宋_GB2312" w:cs="Times New Roman"/>
          <w:sz w:val="32"/>
          <w:szCs w:val="32"/>
        </w:rPr>
        <w:t>万元，财政拨款结转结余</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万元，财政专户管理资金</w:t>
      </w:r>
      <w:r>
        <w:rPr>
          <w:rFonts w:hint="default" w:ascii="Times New Roman" w:hAnsi="Times New Roman" w:eastAsia="仿宋_GB2312" w:cs="Times New Roman"/>
          <w:sz w:val="32"/>
          <w:szCs w:val="32"/>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万元，单位资金</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（二）义务教育阶段助学金</w:t>
      </w:r>
    </w:p>
    <w:p>
      <w:pPr>
        <w:pageBreakBefore w:val="0"/>
        <w:pBdr>
          <w:bottom w:val="single" w:color="FFFFFF" w:sz="4" w:space="30"/>
        </w:pBdr>
        <w:kinsoku/>
        <w:wordWrap/>
        <w:overflowPunct/>
        <w:topLinePunct w:val="0"/>
        <w:bidi w:val="0"/>
        <w:snapToGrid w:val="0"/>
        <w:spacing w:line="360" w:lineRule="auto"/>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本项目主要</w:t>
      </w:r>
      <w:r>
        <w:rPr>
          <w:rFonts w:hint="eastAsia" w:ascii="仿宋_GB2312" w:hAnsi="仿宋_GB2312" w:eastAsia="仿宋_GB2312" w:cs="仿宋_GB2312"/>
          <w:bCs/>
          <w:color w:val="auto"/>
          <w:sz w:val="32"/>
          <w:szCs w:val="32"/>
          <w:lang w:eastAsia="zh-CN"/>
        </w:rPr>
        <w:t>用于对</w:t>
      </w:r>
      <w:r>
        <w:rPr>
          <w:rFonts w:hint="eastAsia" w:ascii="仿宋_GB2312" w:hAnsi="仿宋_GB2312" w:eastAsia="仿宋_GB2312" w:cs="仿宋_GB2312"/>
          <w:color w:val="auto"/>
          <w:sz w:val="32"/>
          <w:szCs w:val="32"/>
        </w:rPr>
        <w:t>特教学校就读和中小学随班就读的三类残疾寄宿生</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生活费，</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家庭经济困难</w:t>
      </w:r>
      <w:r>
        <w:rPr>
          <w:rFonts w:hint="eastAsia" w:ascii="仿宋_GB2312" w:hAnsi="仿宋_GB2312" w:eastAsia="仿宋_GB2312" w:cs="仿宋_GB2312"/>
          <w:color w:val="auto"/>
          <w:sz w:val="32"/>
          <w:szCs w:val="32"/>
          <w:lang w:eastAsia="zh-CN"/>
        </w:rPr>
        <w:t>寄宿</w:t>
      </w:r>
      <w:r>
        <w:rPr>
          <w:rFonts w:hint="eastAsia" w:ascii="仿宋_GB2312" w:hAnsi="仿宋_GB2312" w:eastAsia="仿宋_GB2312" w:cs="仿宋_GB2312"/>
          <w:color w:val="auto"/>
          <w:sz w:val="32"/>
          <w:szCs w:val="32"/>
        </w:rPr>
        <w:t>生</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生活费、</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z w:val="32"/>
          <w:szCs w:val="32"/>
        </w:rPr>
        <w:t>四类非寄宿生</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生活费。</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《关于调整完善义务教育经费保障机制的通知》（内政办发〔2022〕57号）文件及2021年行署第27次常务会议精神</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锡林郭勒盟教育局综合保障中心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根据《关于调整完善义务教育经费保障机制的通知》（内政办发〔2022〕57号）文件及2021年行署第27次常务会议精神，对义教阶段家庭经济困难学生、随班就读和特教学校就读三类残疾寄宿生实施生活费补助政策。 家庭经济困难寄宿生生活费补助标准：年生均小学生1000元，初中生1250元 ；家庭经济困难非寄宿生生活补助标准：年生均小学500元，初中625元。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4.1</w:t>
      </w:r>
      <w:r>
        <w:rPr>
          <w:rFonts w:hint="eastAsia" w:ascii="仿宋_GB2312" w:hAnsi="仿宋_GB2312" w:eastAsia="仿宋_GB2312" w:cs="仿宋_GB2312"/>
          <w:bCs/>
          <w:color w:val="auto"/>
          <w:sz w:val="32"/>
          <w:szCs w:val="32"/>
        </w:rPr>
        <w:t>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（三）普通高中学生资助资金</w:t>
      </w:r>
    </w:p>
    <w:p>
      <w:pPr>
        <w:pageBreakBefore w:val="0"/>
        <w:pBdr>
          <w:bottom w:val="single" w:color="FFFFFF" w:sz="4" w:space="30"/>
        </w:pBdr>
        <w:kinsoku/>
        <w:wordWrap/>
        <w:overflowPunct/>
        <w:topLinePunct w:val="0"/>
        <w:bidi w:val="0"/>
        <w:snapToGrid w:val="0"/>
        <w:spacing w:line="360" w:lineRule="auto"/>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360" w:lineRule="auto"/>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本项目主要</w:t>
      </w:r>
      <w:r>
        <w:rPr>
          <w:rFonts w:hint="eastAsia" w:ascii="仿宋_GB2312" w:hAnsi="仿宋_GB2312" w:eastAsia="仿宋_GB2312" w:cs="仿宋_GB2312"/>
          <w:bCs/>
          <w:color w:val="auto"/>
          <w:sz w:val="32"/>
          <w:szCs w:val="32"/>
          <w:lang w:eastAsia="zh-CN"/>
        </w:rPr>
        <w:t>用于对</w:t>
      </w:r>
      <w:r>
        <w:rPr>
          <w:rFonts w:hint="eastAsia" w:ascii="仿宋_GB2312" w:hAnsi="仿宋_GB2312" w:eastAsia="仿宋_GB2312" w:cs="仿宋_GB2312"/>
          <w:color w:val="auto"/>
          <w:sz w:val="32"/>
          <w:szCs w:val="32"/>
          <w:lang w:eastAsia="zh-CN"/>
        </w:rPr>
        <w:t>在盟内接受普通高中阶段教育，并正式注册学籍的全日制在校生施行免学费、免费提供教科书，补助家庭经济困难学生国家助学金。</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《内蒙古自治区人民政府办公厅关于调整完善高中阶段教育学生资助政策的通知》（内政办发〔2022〕56号）</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锡林郭勒盟教育局综合保障中心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对在盟内接受普通高中阶段教育，并正式注册学籍的全日制在校生施行免学费、免费提供教科书，补助家庭经济困难学生国家助学金（</w:t>
      </w:r>
      <w:r>
        <w:rPr>
          <w:rFonts w:hint="eastAsia" w:ascii="仿宋_GB2312" w:hAnsi="仿宋_GB2312" w:eastAsia="仿宋_GB2312" w:cs="仿宋_GB2312"/>
          <w:color w:val="auto"/>
          <w:sz w:val="32"/>
          <w:szCs w:val="32"/>
          <w:lang w:val="en-US" w:eastAsia="zh-CN"/>
        </w:rPr>
        <w:t>A类家庭经济困难学生</w:t>
      </w:r>
      <w:r>
        <w:rPr>
          <w:rFonts w:hint="eastAsia" w:ascii="仿宋_GB2312" w:hAnsi="仿宋_GB2312" w:eastAsia="仿宋_GB2312" w:cs="仿宋_GB2312"/>
          <w:color w:val="auto"/>
          <w:sz w:val="32"/>
          <w:szCs w:val="32"/>
          <w:lang w:eastAsia="zh-CN"/>
        </w:rPr>
        <w:t>3000元/人/年，</w:t>
      </w:r>
      <w:r>
        <w:rPr>
          <w:rFonts w:hint="eastAsia" w:ascii="仿宋_GB2312" w:hAnsi="仿宋_GB2312" w:eastAsia="仿宋_GB2312" w:cs="仿宋_GB2312"/>
          <w:color w:val="auto"/>
          <w:sz w:val="32"/>
          <w:szCs w:val="32"/>
          <w:lang w:val="en-US" w:eastAsia="zh-CN"/>
        </w:rPr>
        <w:t>B、C</w:t>
      </w:r>
      <w:r>
        <w:rPr>
          <w:rFonts w:hint="eastAsia" w:ascii="仿宋_GB2312" w:hAnsi="仿宋_GB2312" w:eastAsia="仿宋_GB2312" w:cs="仿宋_GB2312"/>
          <w:color w:val="auto"/>
          <w:sz w:val="32"/>
          <w:szCs w:val="32"/>
          <w:lang w:eastAsia="zh-CN"/>
        </w:rPr>
        <w:t>类家庭经济困难学生2000元/人/年）。</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179.98</w:t>
      </w:r>
      <w:r>
        <w:rPr>
          <w:rFonts w:hint="eastAsia" w:ascii="仿宋_GB2312" w:hAnsi="仿宋_GB2312" w:eastAsia="仿宋_GB2312" w:cs="仿宋_GB2312"/>
          <w:bCs/>
          <w:color w:val="auto"/>
          <w:sz w:val="32"/>
          <w:szCs w:val="32"/>
        </w:rPr>
        <w:t>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（五）生源地助学贷款贴息金及风险补偿金</w:t>
      </w:r>
    </w:p>
    <w:p>
      <w:pPr>
        <w:pageBreakBefore w:val="0"/>
        <w:pBdr>
          <w:bottom w:val="single" w:color="FFFFFF" w:sz="4" w:space="30"/>
        </w:pBdr>
        <w:kinsoku/>
        <w:wordWrap/>
        <w:overflowPunct/>
        <w:topLinePunct w:val="0"/>
        <w:bidi w:val="0"/>
        <w:snapToGrid w:val="0"/>
        <w:spacing w:line="360" w:lineRule="auto"/>
        <w:ind w:firstLine="64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1.项目概述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本项目主要</w:t>
      </w:r>
      <w:r>
        <w:rPr>
          <w:rFonts w:hint="eastAsia" w:ascii="仿宋_GB2312" w:hAnsi="仿宋_GB2312" w:eastAsia="仿宋_GB2312" w:cs="仿宋_GB2312"/>
          <w:bCs/>
          <w:color w:val="auto"/>
          <w:sz w:val="32"/>
          <w:szCs w:val="32"/>
          <w:lang w:eastAsia="zh-CN"/>
        </w:rPr>
        <w:t>用于对</w:t>
      </w:r>
      <w:r>
        <w:rPr>
          <w:rFonts w:hint="eastAsia" w:ascii="仿宋_GB2312" w:hAnsi="仿宋_GB2312" w:eastAsia="仿宋_GB2312" w:cs="仿宋_GB2312"/>
          <w:color w:val="auto"/>
          <w:sz w:val="32"/>
          <w:szCs w:val="32"/>
          <w:lang w:eastAsia="zh-CN"/>
        </w:rPr>
        <w:t>在锡林郭勒职业学院就读的生源地信用助学贷款学生支付贴息和风险补偿金。</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2.立项依据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《关于进一步完善内蒙古自治区生源地信用助学贷款政策的通知》（内财教〔2021〕1663号）、《教育领域自治区与盟市财政事权和支出责任划分改革方案》（内政办发〔2020〕32号）</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3.实施主体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锡林郭勒盟教育局综合保障中心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4.实施方案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根据《关于进一步完善内蒙古自治区生源地信用助学贷款政策的通知》（内财教〔2021〕1663号）、《教育领域自治区与盟市财政事权和支出责任划分改革方案》（内政办发〔2020〕32号）文件要求和当期利率，按照事权规定比例测算，2023年盟财政需安排生源地贷款贴息金和风险补偿金356万元，全部由盟级承担。</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其中：根据2022年数据，按照每人每学年平均贷款额度10000元，预计为7000人次贷款学生支付利息；预计为新增贷款学生2000人支付风险补偿金。2023年盟财政需安排生源地贷款贴息金和风险补偿金356万元。</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5.实施周期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自202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年1月1日至202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 xml:space="preserve">年12月31日。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6.年度预算安排 </w:t>
      </w:r>
    </w:p>
    <w:p>
      <w:pPr>
        <w:pageBreakBefore w:val="0"/>
        <w:pBdr>
          <w:bottom w:val="single" w:color="FFFFFF" w:sz="4" w:space="30"/>
        </w:pBdr>
        <w:kinsoku/>
        <w:wordWrap/>
        <w:overflowPunct/>
        <w:topLinePunct w:val="0"/>
        <w:bidi w:val="0"/>
        <w:snapToGrid w:val="0"/>
        <w:spacing w:line="360" w:lineRule="auto"/>
        <w:ind w:firstLine="640" w:firstLineChars="200"/>
        <w:textAlignment w:val="auto"/>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Cs/>
          <w:color w:val="auto"/>
          <w:sz w:val="32"/>
          <w:szCs w:val="32"/>
        </w:rPr>
        <w:t>202</w:t>
      </w:r>
      <w:r>
        <w:rPr>
          <w:rFonts w:hint="eastAsia" w:ascii="仿宋_GB2312" w:hAnsi="仿宋_GB2312" w:eastAsia="仿宋_GB2312" w:cs="仿宋_GB2312"/>
          <w:bCs/>
          <w:color w:val="auto"/>
          <w:sz w:val="32"/>
          <w:szCs w:val="32"/>
          <w:lang w:val="en-US" w:eastAsia="zh-CN"/>
        </w:rPr>
        <w:t>4</w:t>
      </w:r>
      <w:r>
        <w:rPr>
          <w:rFonts w:hint="eastAsia" w:ascii="仿宋_GB2312" w:hAnsi="仿宋_GB2312" w:eastAsia="仿宋_GB2312" w:cs="仿宋_GB2312"/>
          <w:bCs/>
          <w:color w:val="auto"/>
          <w:sz w:val="32"/>
          <w:szCs w:val="32"/>
        </w:rPr>
        <w:t>年该项目预算</w:t>
      </w:r>
      <w:r>
        <w:rPr>
          <w:rFonts w:hint="eastAsia" w:ascii="仿宋_GB2312" w:hAnsi="仿宋_GB2312" w:eastAsia="仿宋_GB2312" w:cs="仿宋_GB2312"/>
          <w:bCs/>
          <w:color w:val="auto"/>
          <w:sz w:val="32"/>
          <w:szCs w:val="32"/>
          <w:lang w:val="en-US" w:eastAsia="zh-CN"/>
        </w:rPr>
        <w:t>356</w:t>
      </w:r>
      <w:r>
        <w:rPr>
          <w:rFonts w:hint="eastAsia" w:ascii="仿宋_GB2312" w:hAnsi="仿宋_GB2312" w:eastAsia="仿宋_GB2312" w:cs="仿宋_GB2312"/>
          <w:bCs/>
          <w:color w:val="auto"/>
          <w:sz w:val="32"/>
          <w:szCs w:val="32"/>
        </w:rPr>
        <w:t>元。</w:t>
      </w:r>
    </w:p>
    <w:p>
      <w:pPr>
        <w:pageBreakBefore w:val="0"/>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ascii="黑体" w:hAnsi="黑体" w:eastAsia="黑体" w:cs="黑体"/>
          <w:b w:val="0"/>
          <w:bCs/>
          <w:i w:val="0"/>
          <w:iCs w:val="0"/>
          <w:color w:val="000000" w:themeColor="text1"/>
          <w:sz w:val="32"/>
          <w:szCs w:val="32"/>
          <w:highlight w:val="none"/>
          <w:lang w:val="en-US" w:eastAsia="zh-CN"/>
          <w14:textFill>
            <w14:solidFill>
              <w14:schemeClr w14:val="tx1"/>
            </w14:solidFill>
          </w14:textFill>
        </w:rPr>
        <w:t xml:space="preserve">    十一、</w:t>
      </w:r>
      <w:r>
        <w:rPr>
          <w:rFonts w:hint="eastAsia" w:eastAsia="黑体" w:cs="黑体"/>
          <w:b w:val="0"/>
          <w:bCs w:val="0"/>
          <w:sz w:val="32"/>
          <w:szCs w:val="36"/>
        </w:rPr>
        <w:t>一般公共预算机关运行经费支出预算情况说明</w:t>
      </w:r>
    </w:p>
    <w:p>
      <w:pPr>
        <w:pageBreakBefore w:val="0"/>
        <w:pBdr>
          <w:bottom w:val="single" w:color="FFFFFF" w:sz="4" w:space="30"/>
        </w:pBdr>
        <w:kinsoku/>
        <w:wordWrap/>
        <w:overflowPunct/>
        <w:topLinePunct w:val="0"/>
        <w:bidi w:val="0"/>
        <w:snapToGrid w:val="0"/>
        <w:spacing w:line="600" w:lineRule="exact"/>
        <w:ind w:firstLine="640" w:firstLineChars="200"/>
        <w:rPr>
          <w:rFonts w:hint="eastAsia" w:eastAsia="仿宋_GB2312" w:cstheme="minorBidi"/>
          <w:sz w:val="32"/>
          <w:szCs w:val="32"/>
          <w:highlight w:val="none"/>
        </w:rPr>
      </w:pPr>
      <w:r>
        <w:rPr>
          <w:rFonts w:hint="eastAsia" w:eastAsia="仿宋_GB2312" w:cstheme="minorBidi"/>
          <w:sz w:val="32"/>
          <w:szCs w:val="32"/>
          <w:highlight w:val="none"/>
        </w:rPr>
        <w:t>202</w:t>
      </w:r>
      <w:r>
        <w:rPr>
          <w:rFonts w:hint="eastAsia" w:eastAsia="仿宋_GB2312" w:cstheme="minorBidi"/>
          <w:sz w:val="32"/>
          <w:szCs w:val="32"/>
          <w:highlight w:val="none"/>
          <w:lang w:val="en-US" w:eastAsia="zh-CN"/>
        </w:rPr>
        <w:t>4</w:t>
      </w:r>
      <w:r>
        <w:rPr>
          <w:rFonts w:hint="eastAsia" w:eastAsia="仿宋_GB2312" w:cstheme="minorBidi"/>
          <w:sz w:val="32"/>
          <w:szCs w:val="32"/>
          <w:highlight w:val="none"/>
        </w:rPr>
        <w:t>年单位一般公共预算机关运行经费预算支出6.63万元，主要包括以下支出：办公费0.84万元、</w:t>
      </w:r>
      <w:r>
        <w:rPr>
          <w:rFonts w:hint="eastAsia" w:eastAsia="仿宋_GB2312" w:cstheme="minorBidi"/>
          <w:sz w:val="32"/>
          <w:szCs w:val="32"/>
          <w:highlight w:val="none"/>
          <w:lang w:eastAsia="zh-CN"/>
        </w:rPr>
        <w:t>邮电费</w:t>
      </w:r>
      <w:r>
        <w:rPr>
          <w:rFonts w:hint="eastAsia" w:eastAsia="仿宋_GB2312" w:cstheme="minorBidi"/>
          <w:sz w:val="32"/>
          <w:szCs w:val="32"/>
          <w:highlight w:val="none"/>
          <w:lang w:val="en-US" w:eastAsia="zh-CN"/>
        </w:rPr>
        <w:t>0.01万元、</w:t>
      </w:r>
      <w:r>
        <w:rPr>
          <w:rFonts w:hint="eastAsia" w:eastAsia="仿宋_GB2312" w:cstheme="minorBidi"/>
          <w:sz w:val="32"/>
          <w:szCs w:val="32"/>
          <w:highlight w:val="none"/>
        </w:rPr>
        <w:t>差旅费0.3万元、工会经费2.07万元、福利费2.32万元、公务接待费0.2万元、其他社会保障缴费支出0.9万元。与上年相比</w:t>
      </w:r>
      <w:r>
        <w:rPr>
          <w:rFonts w:hint="eastAsia" w:eastAsia="仿宋_GB2312" w:cstheme="minorBidi"/>
          <w:sz w:val="32"/>
          <w:szCs w:val="32"/>
          <w:highlight w:val="none"/>
          <w:lang w:eastAsia="zh-CN"/>
        </w:rPr>
        <w:t>减少</w:t>
      </w:r>
      <w:r>
        <w:rPr>
          <w:rFonts w:hint="eastAsia" w:eastAsia="仿宋_GB2312" w:cstheme="minorBidi"/>
          <w:sz w:val="32"/>
          <w:szCs w:val="32"/>
          <w:highlight w:val="none"/>
          <w:lang w:val="en-US" w:eastAsia="zh-CN"/>
        </w:rPr>
        <w:t>0.43</w:t>
      </w:r>
      <w:r>
        <w:rPr>
          <w:rFonts w:hint="eastAsia" w:eastAsia="仿宋_GB2312" w:cstheme="minorBidi"/>
          <w:sz w:val="32"/>
          <w:szCs w:val="32"/>
          <w:highlight w:val="none"/>
        </w:rPr>
        <w:t>万元，</w:t>
      </w:r>
      <w:r>
        <w:rPr>
          <w:rFonts w:hint="eastAsia" w:eastAsia="仿宋_GB2312" w:cstheme="minorBidi"/>
          <w:sz w:val="32"/>
          <w:szCs w:val="32"/>
          <w:highlight w:val="none"/>
          <w:lang w:eastAsia="zh-CN"/>
        </w:rPr>
        <w:t>减少</w:t>
      </w:r>
      <w:r>
        <w:rPr>
          <w:rFonts w:hint="eastAsia" w:eastAsia="仿宋_GB2312" w:cstheme="minorBidi"/>
          <w:sz w:val="32"/>
          <w:szCs w:val="32"/>
          <w:highlight w:val="none"/>
          <w:lang w:val="en-US" w:eastAsia="zh-CN"/>
        </w:rPr>
        <w:t>6</w:t>
      </w:r>
      <w:r>
        <w:rPr>
          <w:rFonts w:hint="eastAsia" w:eastAsia="仿宋_GB2312" w:cstheme="minorBidi"/>
          <w:sz w:val="32"/>
          <w:szCs w:val="32"/>
          <w:highlight w:val="none"/>
        </w:rPr>
        <w:t>%。主要原因是：</w:t>
      </w:r>
      <w:r>
        <w:rPr>
          <w:rFonts w:hint="eastAsia" w:eastAsia="仿宋_GB2312" w:cstheme="minorBidi"/>
          <w:sz w:val="32"/>
          <w:szCs w:val="32"/>
          <w:highlight w:val="none"/>
          <w:lang w:eastAsia="zh-CN"/>
        </w:rPr>
        <w:t>本着勤俭节约的原则，压缩</w:t>
      </w:r>
      <w:r>
        <w:rPr>
          <w:rFonts w:hint="eastAsia" w:eastAsia="仿宋_GB2312" w:cstheme="minorBidi"/>
          <w:sz w:val="32"/>
          <w:szCs w:val="32"/>
          <w:highlight w:val="none"/>
        </w:rPr>
        <w:t>机关运行经费。</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highlight w:val="yellow"/>
        </w:rPr>
      </w:pPr>
      <w:r>
        <w:rPr>
          <w:rFonts w:hint="eastAsia" w:eastAsia="黑体" w:cs="黑体"/>
          <w:b w:val="0"/>
          <w:bCs w:val="0"/>
          <w:sz w:val="32"/>
          <w:szCs w:val="36"/>
          <w:lang w:val="en-US" w:eastAsia="zh-CN"/>
        </w:rPr>
        <w:t xml:space="preserve">    十二、</w:t>
      </w:r>
      <w:r>
        <w:rPr>
          <w:rFonts w:hint="eastAsia" w:eastAsia="黑体" w:cs="黑体"/>
          <w:b w:val="0"/>
          <w:bCs w:val="0"/>
          <w:sz w:val="32"/>
          <w:szCs w:val="36"/>
        </w:rPr>
        <w:t>政府采购支出预算情况说明</w:t>
      </w:r>
    </w:p>
    <w:p>
      <w:pPr>
        <w:pageBreakBefore w:val="0"/>
        <w:numPr>
          <w:ilvl w:val="0"/>
          <w:numId w:val="0"/>
        </w:numPr>
        <w:pBdr>
          <w:bottom w:val="single" w:color="FFFFFF" w:sz="4" w:space="30"/>
        </w:pBdr>
        <w:kinsoku/>
        <w:wordWrap/>
        <w:overflowPunct/>
        <w:topLinePunct w:val="0"/>
        <w:bidi w:val="0"/>
        <w:snapToGrid w:val="0"/>
        <w:spacing w:line="360" w:lineRule="auto"/>
        <w:ind w:firstLine="640" w:firstLineChars="200"/>
        <w:textAlignment w:val="auto"/>
        <w:rPr>
          <w:rFonts w:hint="default" w:ascii="Times New Roman" w:hAnsi="Times New Roman" w:eastAsia="仿宋_GB2312" w:cs="Times New Roman"/>
          <w:color w:val="auto"/>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年度政府采购支出预算总额</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万元，其中：拟采购货物支出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万元、拟采购工程支出</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万元、拟购买服务支出</w:t>
      </w:r>
      <w:r>
        <w:rPr>
          <w:rFonts w:hint="eastAsia" w:eastAsia="仿宋_GB2312" w:cs="Times New Roman"/>
          <w:sz w:val="32"/>
          <w:szCs w:val="32"/>
          <w:u w:val="single"/>
          <w:lang w:val="en-US" w:eastAsia="zh-CN"/>
        </w:rPr>
        <w:t>3</w:t>
      </w:r>
      <w:r>
        <w:rPr>
          <w:rFonts w:hint="default" w:ascii="Times New Roman" w:hAnsi="Times New Roman" w:eastAsia="仿宋_GB2312" w:cs="Times New Roman"/>
          <w:sz w:val="32"/>
          <w:szCs w:val="32"/>
        </w:rPr>
        <w:t>万元。</w:t>
      </w:r>
      <w:r>
        <w:rPr>
          <w:rFonts w:hint="eastAsia" w:eastAsia="仿宋_GB2312" w:cs="Times New Roman"/>
          <w:color w:val="auto"/>
          <w:sz w:val="32"/>
          <w:szCs w:val="32"/>
          <w:lang w:eastAsia="zh-CN"/>
        </w:rPr>
        <w:t>为</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印刷服务</w:t>
      </w:r>
      <w:r>
        <w:rPr>
          <w:rFonts w:hint="default" w:ascii="Times New Roman" w:hAnsi="Times New Roman" w:eastAsia="仿宋_GB2312" w:cs="Times New Roman"/>
          <w:color w:val="auto"/>
          <w:sz w:val="32"/>
          <w:szCs w:val="32"/>
        </w:rPr>
        <w:t>”采购大类，编制政府采购预算明细</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项，采购金额来源为</w:t>
      </w:r>
      <w:r>
        <w:rPr>
          <w:rFonts w:hint="eastAsia" w:eastAsia="仿宋_GB2312" w:cs="Times New Roman"/>
          <w:color w:val="auto"/>
          <w:sz w:val="32"/>
          <w:szCs w:val="32"/>
          <w:lang w:eastAsia="zh-CN"/>
        </w:rPr>
        <w:t>单位自有资金</w:t>
      </w:r>
      <w:r>
        <w:rPr>
          <w:rFonts w:hint="default" w:ascii="Times New Roman" w:hAnsi="Times New Roman" w:eastAsia="仿宋_GB2312" w:cs="Times New Roman"/>
          <w:color w:val="auto"/>
          <w:sz w:val="32"/>
          <w:szCs w:val="32"/>
        </w:rPr>
        <w:t>。</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color w:val="FF0000"/>
          <w:sz w:val="32"/>
          <w:szCs w:val="32"/>
        </w:rPr>
      </w:pPr>
    </w:p>
    <w:p>
      <w:pPr>
        <w:pageBreakBefore w:val="0"/>
        <w:numPr>
          <w:ilvl w:val="0"/>
          <w:numId w:val="0"/>
        </w:numPr>
        <w:pBdr>
          <w:bottom w:val="single" w:color="FFFFFF" w:sz="4" w:space="30"/>
        </w:pBdr>
        <w:kinsoku/>
        <w:wordWrap/>
        <w:overflowPunct/>
        <w:topLinePunct w:val="0"/>
        <w:bidi w:val="0"/>
        <w:snapToGrid w:val="0"/>
        <w:spacing w:line="600" w:lineRule="exact"/>
        <w:rPr>
          <w:rFonts w:hint="eastAsia" w:eastAsia="黑体" w:cs="黑体"/>
          <w:b w:val="0"/>
          <w:bCs w:val="0"/>
          <w:sz w:val="32"/>
          <w:szCs w:val="36"/>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十三、</w:t>
      </w:r>
      <w:r>
        <w:rPr>
          <w:rFonts w:hint="eastAsia" w:eastAsia="黑体" w:cs="黑体"/>
          <w:b w:val="0"/>
          <w:bCs w:val="0"/>
          <w:sz w:val="32"/>
          <w:szCs w:val="36"/>
        </w:rPr>
        <w:t>国有资产占用情况说明</w:t>
      </w:r>
    </w:p>
    <w:p>
      <w:pPr>
        <w:pageBreakBefore w:val="0"/>
        <w:numPr>
          <w:ilvl w:val="0"/>
          <w:numId w:val="0"/>
        </w:numPr>
        <w:pBdr>
          <w:bottom w:val="single" w:color="FFFFFF" w:sz="4" w:space="30"/>
        </w:pBdr>
        <w:kinsoku/>
        <w:wordWrap/>
        <w:overflowPunct/>
        <w:topLinePunct w:val="0"/>
        <w:bidi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本部门（单位）共有车辆</w:t>
      </w:r>
      <w:r>
        <w:rPr>
          <w:rFonts w:hint="default" w:ascii="Times New Roman" w:hAnsi="Times New Roman" w:eastAsia="仿宋_GB2312" w:cs="Times New Roman"/>
          <w:sz w:val="32"/>
          <w:szCs w:val="32"/>
          <w:u w:val="single"/>
        </w:rPr>
        <w:tab/>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辆，其中，一般公务用车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辆、执法执勤用车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辆、特种专业技术用车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辆、业务用车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辆、其他用车</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辆等。单价50万元（含）以上的通用设备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台（套），单价100万元（含）以上的专用设备</w:t>
      </w:r>
      <w:r>
        <w:rPr>
          <w:rFonts w:hint="eastAsia" w:eastAsia="仿宋_GB2312" w:cs="Times New Roman"/>
          <w:sz w:val="32"/>
          <w:szCs w:val="32"/>
          <w:u w:val="single"/>
          <w:lang w:val="en-US" w:eastAsia="zh-CN"/>
        </w:rPr>
        <w:t>0</w:t>
      </w:r>
      <w:r>
        <w:rPr>
          <w:rFonts w:hint="default" w:ascii="Times New Roman" w:hAnsi="Times New Roman" w:eastAsia="仿宋_GB2312" w:cs="Times New Roman"/>
          <w:sz w:val="32"/>
          <w:szCs w:val="32"/>
        </w:rPr>
        <w:t>台（套）。</w:t>
      </w:r>
    </w:p>
    <w:p>
      <w:pPr>
        <w:pageBreakBefore w:val="0"/>
        <w:numPr>
          <w:ilvl w:val="0"/>
          <w:numId w:val="0"/>
        </w:numPr>
        <w:pBdr>
          <w:bottom w:val="single" w:color="FFFFFF" w:sz="4" w:space="30"/>
        </w:pBdr>
        <w:kinsoku/>
        <w:wordWrap/>
        <w:overflowPunct/>
        <w:topLinePunct w:val="0"/>
        <w:bidi w:val="0"/>
        <w:snapToGrid w:val="0"/>
        <w:spacing w:line="600" w:lineRule="exact"/>
        <w:rPr>
          <w:rFonts w:eastAsia="仿宋_GB2312" w:cstheme="minorBidi"/>
          <w:sz w:val="32"/>
          <w:szCs w:val="32"/>
        </w:rPr>
      </w:pPr>
      <w:r>
        <w:rPr>
          <w:rFonts w:hint="eastAsia" w:eastAsia="黑体" w:cs="黑体"/>
          <w:b w:val="0"/>
          <w:bCs w:val="0"/>
          <w:sz w:val="32"/>
          <w:szCs w:val="36"/>
          <w:lang w:val="en-US" w:eastAsia="zh-CN"/>
        </w:rPr>
        <w:t xml:space="preserve">    </w:t>
      </w:r>
      <w:r>
        <w:rPr>
          <w:rFonts w:hint="eastAsia" w:eastAsia="黑体" w:cs="黑体"/>
          <w:b w:val="0"/>
          <w:bCs w:val="0"/>
          <w:sz w:val="32"/>
          <w:szCs w:val="36"/>
          <w:lang w:eastAsia="zh-CN"/>
        </w:rPr>
        <w:t>十四、</w:t>
      </w:r>
      <w:r>
        <w:rPr>
          <w:rFonts w:hint="eastAsia" w:eastAsia="黑体" w:cs="黑体"/>
          <w:b w:val="0"/>
          <w:bCs w:val="0"/>
          <w:sz w:val="32"/>
          <w:szCs w:val="36"/>
        </w:rPr>
        <w:t>项目绩效目标情况说明</w:t>
      </w:r>
      <w:r>
        <w:rPr>
          <w:rFonts w:hint="eastAsia" w:eastAsia="黑体" w:cs="黑体"/>
          <w:b/>
          <w:bCs/>
          <w:sz w:val="32"/>
          <w:szCs w:val="36"/>
        </w:rPr>
        <w:t xml:space="preserve"> </w:t>
      </w:r>
    </w:p>
    <w:p>
      <w:pPr>
        <w:pageBreakBefore w:val="0"/>
        <w:numPr>
          <w:ilvl w:val="0"/>
          <w:numId w:val="0"/>
        </w:numPr>
        <w:pBdr>
          <w:bottom w:val="single" w:color="FFFFFF" w:sz="4" w:space="30"/>
        </w:pBdr>
        <w:kinsoku/>
        <w:wordWrap/>
        <w:overflowPunct/>
        <w:topLinePunct w:val="0"/>
        <w:bidi w:val="0"/>
        <w:snapToGrid w:val="0"/>
        <w:spacing w:line="600" w:lineRule="exact"/>
        <w:rPr>
          <w:rFonts w:hint="eastAsia" w:ascii="Arial Unicode MS" w:hAnsi="Arial Unicode MS" w:eastAsia="Arial Unicode MS" w:cs="Arial Unicode MS"/>
          <w:sz w:val="36"/>
          <w:szCs w:val="36"/>
        </w:rPr>
      </w:pPr>
      <w:r>
        <w:rPr>
          <w:rFonts w:hint="eastAsia" w:eastAsia="黑体" w:cs="黑体"/>
          <w:b/>
          <w:bCs/>
          <w:sz w:val="32"/>
          <w:szCs w:val="36"/>
          <w:lang w:val="en-US" w:eastAsia="zh-CN"/>
        </w:rPr>
        <w:t xml:space="preserve">    </w:t>
      </w:r>
      <w:r>
        <w:rPr>
          <w:rFonts w:hint="eastAsia" w:eastAsia="仿宋_GB2312" w:cstheme="minorBidi"/>
          <w:sz w:val="32"/>
          <w:szCs w:val="32"/>
          <w:lang w:val="en-US" w:eastAsia="zh-CN"/>
        </w:rPr>
        <w:t>2024</w:t>
      </w:r>
      <w:r>
        <w:rPr>
          <w:rFonts w:hint="eastAsia" w:eastAsia="仿宋_GB2312" w:cstheme="minorBidi"/>
          <w:sz w:val="32"/>
          <w:szCs w:val="32"/>
        </w:rPr>
        <w:t>年，填报绩效目标的预算项目</w:t>
      </w:r>
      <w:r>
        <w:rPr>
          <w:rFonts w:hint="eastAsia" w:eastAsia="仿宋_GB2312" w:cstheme="minorBidi"/>
          <w:sz w:val="32"/>
          <w:szCs w:val="32"/>
          <w:u w:val="single"/>
          <w:lang w:val="en-US" w:eastAsia="zh-CN"/>
        </w:rPr>
        <w:t>3</w:t>
      </w:r>
      <w:r>
        <w:rPr>
          <w:rFonts w:hint="eastAsia" w:eastAsia="仿宋_GB2312" w:cstheme="minorBidi"/>
          <w:sz w:val="32"/>
          <w:szCs w:val="32"/>
          <w:u w:val="single"/>
        </w:rPr>
        <w:t xml:space="preserve"> </w:t>
      </w:r>
      <w:r>
        <w:rPr>
          <w:rFonts w:hint="eastAsia" w:eastAsia="仿宋_GB2312" w:cstheme="minorBidi"/>
          <w:sz w:val="32"/>
          <w:szCs w:val="32"/>
        </w:rPr>
        <w:t>个，公开绩效目标</w:t>
      </w:r>
      <w:r>
        <w:rPr>
          <w:rFonts w:hint="eastAsia" w:eastAsia="仿宋_GB2312" w:cstheme="minorBidi"/>
          <w:sz w:val="32"/>
          <w:szCs w:val="32"/>
          <w:u w:val="single"/>
          <w:lang w:val="en-US" w:eastAsia="zh-CN"/>
        </w:rPr>
        <w:t>3</w:t>
      </w:r>
      <w:r>
        <w:rPr>
          <w:rFonts w:hint="eastAsia" w:eastAsia="仿宋_GB2312" w:cstheme="minorBidi"/>
          <w:sz w:val="32"/>
          <w:szCs w:val="32"/>
        </w:rPr>
        <w:t>个，公开项目占全部预算项目的100 %。公开填报绩效目标的项目预算</w:t>
      </w:r>
      <w:r>
        <w:rPr>
          <w:rFonts w:hint="eastAsia" w:eastAsia="仿宋_GB2312" w:cstheme="minorBidi"/>
          <w:sz w:val="32"/>
          <w:szCs w:val="32"/>
          <w:u w:val="single"/>
          <w:lang w:val="en-US" w:eastAsia="zh-CN"/>
        </w:rPr>
        <w:t>540.08</w:t>
      </w:r>
      <w:r>
        <w:rPr>
          <w:rFonts w:hint="eastAsia" w:eastAsia="仿宋_GB2312" w:cstheme="minorBidi"/>
          <w:sz w:val="32"/>
          <w:szCs w:val="32"/>
        </w:rPr>
        <w:t>万元，占全部项目预算的100%。</w:t>
      </w:r>
    </w:p>
    <w:p>
      <w:pPr>
        <w:pStyle w:val="5"/>
        <w:pageBreakBefore w:val="0"/>
        <w:tabs>
          <w:tab w:val="left" w:pos="4392"/>
        </w:tabs>
        <w:kinsoku/>
        <w:wordWrap/>
        <w:overflowPunct/>
        <w:topLinePunct w:val="0"/>
        <w:bidi w:val="0"/>
        <w:spacing w:before="0" w:after="0" w:line="600" w:lineRule="exact"/>
        <w:ind w:firstLine="720" w:firstLineChars="200"/>
        <w:jc w:val="center"/>
        <w:rPr>
          <w:rFonts w:hint="eastAsia"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第三部分   名词解释</w:t>
      </w:r>
    </w:p>
    <w:p>
      <w:pPr>
        <w:rPr>
          <w:sz w:val="36"/>
          <w:szCs w:val="36"/>
        </w:rPr>
      </w:pP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一、财政拨款：</w:t>
      </w:r>
      <w:r>
        <w:rPr>
          <w:rFonts w:hint="eastAsia" w:eastAsia="仿宋_GB2312" w:cstheme="minorBidi"/>
          <w:sz w:val="32"/>
          <w:szCs w:val="32"/>
        </w:rPr>
        <w:t>部门/单位从同级财政部门取得的各类财政拨款，包括一般公共预算拨款、政府性基金预算拨款、国有资本经营预算拨款。</w:t>
      </w:r>
    </w:p>
    <w:p>
      <w:pPr>
        <w:pageBreakBefore w:val="0"/>
        <w:kinsoku/>
        <w:wordWrap/>
        <w:overflowPunct/>
        <w:topLinePunct w:val="0"/>
        <w:bidi w:val="0"/>
        <w:spacing w:line="600" w:lineRule="exact"/>
        <w:ind w:firstLine="643" w:firstLineChars="200"/>
      </w:pPr>
      <w:r>
        <w:rPr>
          <w:rFonts w:hint="eastAsia" w:eastAsia="仿宋_GB2312" w:cstheme="minorBidi"/>
          <w:b/>
          <w:bCs/>
          <w:sz w:val="32"/>
          <w:szCs w:val="32"/>
        </w:rPr>
        <w:t>二、一般公共预算拨款收入：</w:t>
      </w:r>
      <w:r>
        <w:rPr>
          <w:rFonts w:hint="eastAsia" w:ascii="仿宋" w:hAnsi="仿宋" w:eastAsia="仿宋" w:cs="仿宋"/>
          <w:bCs/>
          <w:sz w:val="30"/>
          <w:szCs w:val="30"/>
        </w:rPr>
        <w:t>指市级财政当年拨付的资金。</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三、财政专户管理资金：</w:t>
      </w:r>
      <w:r>
        <w:rPr>
          <w:rFonts w:hint="eastAsia" w:eastAsia="仿宋_GB2312" w:cstheme="minorBidi"/>
          <w:sz w:val="32"/>
          <w:szCs w:val="32"/>
        </w:rPr>
        <w:t>缴入财政专户、实行专项管理的高中以上学费、住宿费、高校委托培养费、函大、电大、夜大及短训班培训费等教育收费。</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四、单位资金：</w:t>
      </w:r>
      <w:r>
        <w:rPr>
          <w:rFonts w:hint="eastAsia" w:eastAsia="仿宋_GB2312" w:cstheme="minorBidi"/>
          <w:sz w:val="32"/>
          <w:szCs w:val="32"/>
        </w:rPr>
        <w:t>除财政拨款收入和财政专户管理资金以外的收入，包括事业收入（不含教育收费）、上级补助收入、附属单位上缴收入、事业单位经营收入及其他收入（包含债务收入、投资收益等）。</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五、基本支出：</w:t>
      </w:r>
      <w:r>
        <w:rPr>
          <w:rFonts w:hint="eastAsia" w:eastAsia="仿宋_GB2312" w:cstheme="minorBidi"/>
          <w:sz w:val="32"/>
          <w:szCs w:val="32"/>
        </w:rPr>
        <w:t>指为保障机构正常运转、完成工作任务而发生的人员支出和公用支出。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六、项目支出：</w:t>
      </w:r>
      <w:r>
        <w:rPr>
          <w:rFonts w:hint="eastAsia" w:eastAsia="仿宋_GB2312" w:cstheme="minorBidi"/>
          <w:sz w:val="32"/>
          <w:szCs w:val="32"/>
        </w:rPr>
        <w:t>指在基本支出之外为完成特定工作任务和事业发展目标所发生的支出。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七、对个人和家庭的补助：</w:t>
      </w:r>
      <w:r>
        <w:rPr>
          <w:rFonts w:hint="eastAsia" w:eastAsia="仿宋_GB2312" w:cstheme="minorBidi"/>
          <w:sz w:val="32"/>
          <w:szCs w:val="32"/>
        </w:rPr>
        <w:t>是指政府用于对个人和家庭的补助支出。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八、“三公”经费：</w:t>
      </w:r>
      <w:r>
        <w:rPr>
          <w:rFonts w:hint="eastAsia" w:eastAsia="仿宋_GB2312" w:cstheme="minorBidi"/>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pPr>
        <w:pageBreakBefore w:val="0"/>
        <w:kinsoku/>
        <w:wordWrap/>
        <w:overflowPunct/>
        <w:topLinePunct w:val="0"/>
        <w:bidi w:val="0"/>
        <w:spacing w:line="600" w:lineRule="exact"/>
        <w:ind w:firstLine="643" w:firstLineChars="200"/>
        <w:rPr>
          <w:rFonts w:eastAsia="仿宋_GB2312" w:cstheme="minorBidi"/>
          <w:sz w:val="32"/>
          <w:szCs w:val="32"/>
        </w:rPr>
      </w:pPr>
      <w:r>
        <w:rPr>
          <w:rFonts w:hint="eastAsia" w:eastAsia="仿宋_GB2312" w:cstheme="minorBidi"/>
          <w:b/>
          <w:bCs/>
          <w:sz w:val="32"/>
          <w:szCs w:val="32"/>
        </w:rPr>
        <w:t>九、机关运行经费：</w:t>
      </w:r>
      <w:r>
        <w:rPr>
          <w:rFonts w:hint="eastAsia" w:eastAsia="仿宋_GB2312" w:cstheme="minorBidi"/>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ageBreakBefore w:val="0"/>
        <w:kinsoku/>
        <w:wordWrap/>
        <w:overflowPunct/>
        <w:topLinePunct w:val="0"/>
        <w:bidi w:val="0"/>
        <w:spacing w:line="600" w:lineRule="exact"/>
        <w:ind w:firstLine="643" w:firstLineChars="200"/>
        <w:rPr>
          <w:rFonts w:eastAsia="仿宋_GB2312" w:cstheme="minorBidi"/>
          <w:b/>
          <w:bCs/>
          <w:sz w:val="32"/>
          <w:szCs w:val="32"/>
        </w:rPr>
      </w:pPr>
    </w:p>
    <w:p>
      <w:pPr>
        <w:pageBreakBefore w:val="0"/>
        <w:kinsoku/>
        <w:wordWrap/>
        <w:overflowPunct/>
        <w:topLinePunct w:val="0"/>
        <w:bidi w:val="0"/>
        <w:spacing w:line="600" w:lineRule="exact"/>
        <w:jc w:val="center"/>
        <w:rPr>
          <w:rFonts w:hint="eastAsia" w:ascii="Arial Unicode MS" w:hAnsi="Arial Unicode MS" w:eastAsia="Arial Unicode MS" w:cs="Arial Unicode MS"/>
          <w:b w:val="0"/>
          <w:bCs w:val="0"/>
          <w:sz w:val="36"/>
          <w:szCs w:val="36"/>
        </w:rPr>
      </w:pPr>
    </w:p>
    <w:p>
      <w:pPr>
        <w:pageBreakBefore w:val="0"/>
        <w:kinsoku/>
        <w:wordWrap/>
        <w:overflowPunct/>
        <w:topLinePunct w:val="0"/>
        <w:bidi w:val="0"/>
        <w:spacing w:line="600" w:lineRule="exact"/>
        <w:jc w:val="center"/>
        <w:rPr>
          <w:rFonts w:ascii="Arial Unicode MS" w:hAnsi="Arial Unicode MS" w:eastAsia="Arial Unicode MS" w:cs="Arial Unicode MS"/>
          <w:b w:val="0"/>
          <w:bCs w:val="0"/>
          <w:sz w:val="36"/>
          <w:szCs w:val="36"/>
        </w:rPr>
      </w:pPr>
      <w:r>
        <w:rPr>
          <w:rFonts w:hint="eastAsia" w:ascii="Arial Unicode MS" w:hAnsi="Arial Unicode MS" w:eastAsia="Arial Unicode MS" w:cs="Arial Unicode MS"/>
          <w:b w:val="0"/>
          <w:bCs w:val="0"/>
          <w:sz w:val="36"/>
          <w:szCs w:val="36"/>
        </w:rPr>
        <w:t>第四部分</w:t>
      </w:r>
      <w:r>
        <w:rPr>
          <w:rFonts w:hint="eastAsia" w:ascii="仿宋" w:hAnsi="仿宋" w:eastAsia="仿宋" w:cs="仿宋"/>
          <w:b w:val="0"/>
          <w:bCs w:val="0"/>
          <w:sz w:val="36"/>
          <w:szCs w:val="36"/>
        </w:rPr>
        <w:t xml:space="preserve"> </w:t>
      </w:r>
      <w:r>
        <w:rPr>
          <w:rFonts w:hint="eastAsia" w:ascii="Arial Unicode MS" w:hAnsi="Arial Unicode MS" w:eastAsia="Arial Unicode MS" w:cs="Arial Unicode MS"/>
          <w:b w:val="0"/>
          <w:bCs w:val="0"/>
          <w:sz w:val="36"/>
          <w:szCs w:val="36"/>
        </w:rPr>
        <w:t>预算公开联系方式及信息反馈渠道</w:t>
      </w:r>
    </w:p>
    <w:p>
      <w:pPr>
        <w:pageBreakBefore w:val="0"/>
        <w:kinsoku/>
        <w:wordWrap/>
        <w:overflowPunct/>
        <w:topLinePunct w:val="0"/>
        <w:bidi w:val="0"/>
        <w:snapToGrid w:val="0"/>
        <w:spacing w:line="600" w:lineRule="exact"/>
        <w:rPr>
          <w:rFonts w:hint="eastAsia" w:ascii="Arial Unicode MS" w:hAnsi="Arial Unicode MS" w:eastAsia="Arial Unicode MS" w:cs="Arial Unicode MS"/>
          <w:sz w:val="36"/>
          <w:szCs w:val="36"/>
        </w:rPr>
      </w:pP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本单位预算公开信息反馈和联系方式：</w:t>
      </w:r>
    </w:p>
    <w:p>
      <w:pPr>
        <w:pageBreakBefore w:val="0"/>
        <w:kinsoku/>
        <w:wordWrap/>
        <w:overflowPunct/>
        <w:topLinePunct w:val="0"/>
        <w:bidi w:val="0"/>
        <w:snapToGrid w:val="0"/>
        <w:spacing w:line="600" w:lineRule="exact"/>
        <w:ind w:firstLine="640" w:firstLineChars="200"/>
        <w:rPr>
          <w:rFonts w:hint="eastAsia" w:ascii="仿宋_GB2312" w:hAnsi="仿宋_GB2312" w:eastAsia="仿宋_GB2312" w:cs="仿宋_GB2312"/>
          <w:sz w:val="32"/>
          <w:szCs w:val="32"/>
        </w:rPr>
        <w:sectPr>
          <w:pgSz w:w="11910" w:h="16840"/>
          <w:pgMar w:top="1580" w:right="1020" w:bottom="280" w:left="1240" w:header="720" w:footer="720" w:gutter="0"/>
          <w:pgNumType w:fmt="numberInDash"/>
          <w:cols w:space="720" w:num="1"/>
        </w:sectPr>
      </w:pPr>
      <w:r>
        <w:rPr>
          <w:rFonts w:hint="eastAsia" w:ascii="仿宋_GB2312" w:hAnsi="仿宋_GB2312" w:eastAsia="仿宋_GB2312" w:cs="仿宋_GB2312"/>
          <w:sz w:val="32"/>
          <w:szCs w:val="32"/>
        </w:rPr>
        <w:t>联系人：               联系电话：</w:t>
      </w:r>
    </w:p>
    <w:p>
      <w:pPr>
        <w:pStyle w:val="5"/>
        <w:pageBreakBefore w:val="0"/>
        <w:tabs>
          <w:tab w:val="left" w:pos="4392"/>
        </w:tabs>
        <w:kinsoku/>
        <w:wordWrap/>
        <w:overflowPunct/>
        <w:topLinePunct w:val="0"/>
        <w:bidi w:val="0"/>
        <w:spacing w:before="0" w:after="0" w:line="600" w:lineRule="exact"/>
        <w:jc w:val="center"/>
        <w:rPr>
          <w:sz w:val="23"/>
        </w:rPr>
      </w:pPr>
      <w:r>
        <w:rPr>
          <w:rFonts w:hint="eastAsia" w:ascii="Arial Unicode MS" w:hAnsi="Arial Unicode MS" w:eastAsia="Arial Unicode MS" w:cs="Arial Unicode MS"/>
          <w:b w:val="0"/>
          <w:bCs w:val="0"/>
          <w:sz w:val="36"/>
          <w:szCs w:val="36"/>
        </w:rPr>
        <w:t>第五部分  XX年度XX部门（单位）预算表</w:t>
      </w:r>
    </w:p>
    <w:p>
      <w:pPr>
        <w:pageBreakBefore w:val="0"/>
        <w:kinsoku/>
        <w:wordWrap/>
        <w:overflowPunct/>
        <w:topLinePunct w:val="0"/>
        <w:bidi w:val="0"/>
        <w:spacing w:line="600" w:lineRule="exact"/>
        <w:rPr>
          <w:rFonts w:eastAsia="仿宋_GB2312" w:cstheme="minorBidi"/>
          <w:sz w:val="30"/>
          <w:szCs w:val="30"/>
        </w:rPr>
      </w:pPr>
    </w:p>
    <w:sectPr>
      <w:pgSz w:w="11910" w:h="16840"/>
      <w:pgMar w:top="1580" w:right="1080" w:bottom="280" w:left="1080" w:header="720" w:footer="72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7878C5DE-72DD-48AA-B397-03EED54DE299}"/>
  </w:font>
  <w:font w:name="黑体">
    <w:panose1 w:val="02010609060101010101"/>
    <w:charset w:val="86"/>
    <w:family w:val="auto"/>
    <w:pitch w:val="default"/>
    <w:sig w:usb0="800002BF" w:usb1="38CF7CFA" w:usb2="00000016" w:usb3="00000000" w:csb0="00040001" w:csb1="00000000"/>
    <w:embedRegular r:id="rId2" w:fontKey="{63C0409F-9861-40F2-A4C0-2644CFCBC8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3" w:fontKey="{5D40C6AC-8B57-496A-996F-26CF02DACDAD}"/>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decorative"/>
    <w:pitch w:val="default"/>
    <w:sig w:usb0="00000001" w:usb1="080E0000" w:usb2="00000000" w:usb3="00000000" w:csb0="00040000" w:csb1="00000000"/>
    <w:embedRegular r:id="rId4" w:fontKey="{79CF9738-98DF-4E00-A76B-512BBB13A1D7}"/>
  </w:font>
  <w:font w:name="等线">
    <w:panose1 w:val="02010600030101010101"/>
    <w:charset w:val="86"/>
    <w:family w:val="auto"/>
    <w:pitch w:val="default"/>
    <w:sig w:usb0="A00002BF" w:usb1="38CF7CFA" w:usb2="00000016" w:usb3="00000000" w:csb0="0004000F" w:csb1="00000000"/>
    <w:embedRegular r:id="rId5" w:fontKey="{149FDF1D-0C4D-43F9-B645-DB8051B9BB32}"/>
  </w:font>
  <w:font w:name="Helvetica">
    <w:altName w:val="Arial"/>
    <w:panose1 w:val="020B0604020202020204"/>
    <w:charset w:val="00"/>
    <w:family w:val="roman"/>
    <w:pitch w:val="default"/>
    <w:sig w:usb0="00000000" w:usb1="00000000" w:usb2="00000000" w:usb3="00000000" w:csb0="00000001" w:csb1="00000000"/>
  </w:font>
  <w:font w:name="Courier">
    <w:altName w:val="Courier New"/>
    <w:panose1 w:val="02070409020205020404"/>
    <w:charset w:val="00"/>
    <w:family w:val="decorative"/>
    <w:pitch w:val="default"/>
    <w:sig w:usb0="00000000" w:usb1="00000000" w:usb2="00000000" w:usb3="00000000" w:csb0="00000001" w:csb1="00000000"/>
  </w:font>
  <w:font w:name="Tms Rmn">
    <w:altName w:val="Segoe Print"/>
    <w:panose1 w:val="02020603040505020304"/>
    <w:charset w:val="00"/>
    <w:family w:val="swiss"/>
    <w:pitch w:val="default"/>
    <w:sig w:usb0="00000000" w:usb1="00000000" w:usb2="00000000" w:usb3="00000000" w:csb0="00000001" w:csb1="00000000"/>
  </w:font>
  <w:font w:name="Helv">
    <w:altName w:val="Arial"/>
    <w:panose1 w:val="020B0604020202030204"/>
    <w:charset w:val="00"/>
    <w:family w:val="roman"/>
    <w:pitch w:val="default"/>
    <w:sig w:usb0="00000000" w:usb1="00000000" w:usb2="00000000" w:usb3="00000000" w:csb0="00000001" w:csb1="00000000"/>
  </w:font>
  <w:font w:name="New York">
    <w:altName w:val="Times New Roman"/>
    <w:panose1 w:val="02040503060506020304"/>
    <w:charset w:val="00"/>
    <w:family w:val="swiss"/>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embedRegular r:id="rId6" w:fontKey="{7155A412-AD3B-43B4-8E4C-286C74CFEB67}"/>
  </w:font>
  <w:font w:name="仿宋">
    <w:panose1 w:val="02010609060101010101"/>
    <w:charset w:val="86"/>
    <w:family w:val="auto"/>
    <w:pitch w:val="default"/>
    <w:sig w:usb0="800002BF" w:usb1="38CF7CFA" w:usb2="00000016" w:usb3="00000000" w:csb0="00040001" w:csb1="00000000"/>
    <w:embedRegular r:id="rId7" w:fontKey="{118983E7-7CAF-45F7-861F-5FEA88C852A6}"/>
  </w:font>
  <w:font w:name="楷体">
    <w:panose1 w:val="02010609060101010101"/>
    <w:charset w:val="86"/>
    <w:family w:val="decorative"/>
    <w:pitch w:val="default"/>
    <w:sig w:usb0="800002BF" w:usb1="38CF7CFA" w:usb2="00000016" w:usb3="00000000" w:csb0="00040001" w:csb1="00000000"/>
    <w:embedRegular r:id="rId8" w:fontKey="{108255D3-DC8B-452D-8B35-0EBD70A46D35}"/>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TuoktAgAAW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ZTuoktAgAAWQQAAA4AAAAAAAAAAQAgAAAAHwEAAGRycy9lMm9Eb2MueG1sUEsFBgAAAAAG&#10;AAYAWQEAAL4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- 19 -</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5A0DD3"/>
    <w:multiLevelType w:val="singleLevel"/>
    <w:tmpl w:val="D55A0DD3"/>
    <w:lvl w:ilvl="0" w:tentative="0">
      <w:start w:val="1"/>
      <w:numFmt w:val="chineseCounting"/>
      <w:suff w:val="nothing"/>
      <w:lvlText w:val="（%1）"/>
      <w:lvlJc w:val="left"/>
      <w:rPr>
        <w:rFonts w:hint="eastAsia"/>
      </w:rPr>
    </w:lvl>
  </w:abstractNum>
  <w:abstractNum w:abstractNumId="1">
    <w:nsid w:val="2F79C1BC"/>
    <w:multiLevelType w:val="singleLevel"/>
    <w:tmpl w:val="2F79C1BC"/>
    <w:lvl w:ilvl="0" w:tentative="0">
      <w:start w:val="3"/>
      <w:numFmt w:val="chineseCounting"/>
      <w:suff w:val="nothing"/>
      <w:lvlText w:val="（%1）"/>
      <w:lvlJc w:val="left"/>
      <w:rPr>
        <w:rFonts w:hint="eastAsia"/>
      </w:rPr>
    </w:lvl>
  </w:abstractNum>
  <w:abstractNum w:abstractNumId="2">
    <w:nsid w:val="3265B7C3"/>
    <w:multiLevelType w:val="singleLevel"/>
    <w:tmpl w:val="3265B7C3"/>
    <w:lvl w:ilvl="0" w:tentative="0">
      <w:start w:val="1"/>
      <w:numFmt w:val="chineseCounting"/>
      <w:suff w:val="nothing"/>
      <w:lvlText w:val="%1、"/>
      <w:lvlJc w:val="left"/>
      <w:rPr>
        <w:rFonts w:hint="eastAsia"/>
      </w:rPr>
    </w:lvl>
  </w:abstractNum>
  <w:abstractNum w:abstractNumId="3">
    <w:nsid w:val="4EC74364"/>
    <w:multiLevelType w:val="singleLevel"/>
    <w:tmpl w:val="4EC74364"/>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JlNzQ0ZGQ3OTIwNmUwN2EzZDk0OWIwMWM2YmMxMjkifQ=="/>
  </w:docVars>
  <w:rsids>
    <w:rsidRoot w:val="00172A27"/>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517C8"/>
    <w:rsid w:val="00052722"/>
    <w:rsid w:val="00052AB3"/>
    <w:rsid w:val="000530B5"/>
    <w:rsid w:val="000547DF"/>
    <w:rsid w:val="0005634A"/>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357A3"/>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EC9"/>
    <w:rsid w:val="001B7FCD"/>
    <w:rsid w:val="001C0CDF"/>
    <w:rsid w:val="001C4010"/>
    <w:rsid w:val="001C6BF1"/>
    <w:rsid w:val="001D3C7E"/>
    <w:rsid w:val="001D6D0B"/>
    <w:rsid w:val="001D7958"/>
    <w:rsid w:val="001E0433"/>
    <w:rsid w:val="001E0815"/>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6E55"/>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1A3B"/>
    <w:rsid w:val="002A25F0"/>
    <w:rsid w:val="002A38DC"/>
    <w:rsid w:val="002A3F94"/>
    <w:rsid w:val="002A4CC2"/>
    <w:rsid w:val="002B0E96"/>
    <w:rsid w:val="002B21CC"/>
    <w:rsid w:val="002B3658"/>
    <w:rsid w:val="002B37C5"/>
    <w:rsid w:val="002B7E88"/>
    <w:rsid w:val="002D028A"/>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4CE7"/>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4972"/>
    <w:rsid w:val="003B4A14"/>
    <w:rsid w:val="003B5570"/>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1737"/>
    <w:rsid w:val="00467117"/>
    <w:rsid w:val="00467D70"/>
    <w:rsid w:val="00467DC5"/>
    <w:rsid w:val="004702DB"/>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1F"/>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ECD"/>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03B4"/>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3D31"/>
    <w:rsid w:val="007C4FA1"/>
    <w:rsid w:val="007D2F2B"/>
    <w:rsid w:val="007D48A4"/>
    <w:rsid w:val="007D719A"/>
    <w:rsid w:val="007E11AF"/>
    <w:rsid w:val="007E1A50"/>
    <w:rsid w:val="007E36AC"/>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41B6"/>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340D"/>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469B5"/>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A5F8F"/>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6F"/>
    <w:rsid w:val="00A503E5"/>
    <w:rsid w:val="00A509FD"/>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23F"/>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329"/>
    <w:rsid w:val="00AC6B22"/>
    <w:rsid w:val="00AD13AD"/>
    <w:rsid w:val="00AE08D3"/>
    <w:rsid w:val="00AE225B"/>
    <w:rsid w:val="00AE46A4"/>
    <w:rsid w:val="00AE535D"/>
    <w:rsid w:val="00AE69CE"/>
    <w:rsid w:val="00AF08E9"/>
    <w:rsid w:val="00AF0B26"/>
    <w:rsid w:val="00AF0EBF"/>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318C"/>
    <w:rsid w:val="00C34F6D"/>
    <w:rsid w:val="00C3720A"/>
    <w:rsid w:val="00C41DCA"/>
    <w:rsid w:val="00C45720"/>
    <w:rsid w:val="00C51934"/>
    <w:rsid w:val="00C549B2"/>
    <w:rsid w:val="00C55715"/>
    <w:rsid w:val="00C56FA8"/>
    <w:rsid w:val="00C61C00"/>
    <w:rsid w:val="00C62802"/>
    <w:rsid w:val="00C6346F"/>
    <w:rsid w:val="00C679E4"/>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47761"/>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E81"/>
    <w:rsid w:val="00F021CF"/>
    <w:rsid w:val="00F05B0F"/>
    <w:rsid w:val="00F1047D"/>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17A3"/>
    <w:rsid w:val="00F42B7E"/>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3C84930"/>
    <w:rsid w:val="03D33F23"/>
    <w:rsid w:val="03DF7E09"/>
    <w:rsid w:val="048320BB"/>
    <w:rsid w:val="04B563C2"/>
    <w:rsid w:val="05531A54"/>
    <w:rsid w:val="05F92C68"/>
    <w:rsid w:val="06571B7A"/>
    <w:rsid w:val="06A9513F"/>
    <w:rsid w:val="077111CE"/>
    <w:rsid w:val="0772575A"/>
    <w:rsid w:val="07DA3A8F"/>
    <w:rsid w:val="089D7C92"/>
    <w:rsid w:val="09C92DD3"/>
    <w:rsid w:val="09CF6E4B"/>
    <w:rsid w:val="0B6B045B"/>
    <w:rsid w:val="0BD554C2"/>
    <w:rsid w:val="0DEF34A9"/>
    <w:rsid w:val="0E7B4525"/>
    <w:rsid w:val="10767327"/>
    <w:rsid w:val="11304CEB"/>
    <w:rsid w:val="11AF4DCB"/>
    <w:rsid w:val="12955111"/>
    <w:rsid w:val="12CC6E6D"/>
    <w:rsid w:val="13806E42"/>
    <w:rsid w:val="13A607E7"/>
    <w:rsid w:val="140E7482"/>
    <w:rsid w:val="1440520B"/>
    <w:rsid w:val="14737EE6"/>
    <w:rsid w:val="17BC5001"/>
    <w:rsid w:val="17C92852"/>
    <w:rsid w:val="183A0A1F"/>
    <w:rsid w:val="198C1D89"/>
    <w:rsid w:val="1B74013C"/>
    <w:rsid w:val="1C0B6A84"/>
    <w:rsid w:val="1CFA34AD"/>
    <w:rsid w:val="1E0D2BED"/>
    <w:rsid w:val="1E591AD6"/>
    <w:rsid w:val="1F14499E"/>
    <w:rsid w:val="1F3352C5"/>
    <w:rsid w:val="1F5B26C7"/>
    <w:rsid w:val="20146634"/>
    <w:rsid w:val="203A4DF7"/>
    <w:rsid w:val="224109E7"/>
    <w:rsid w:val="229B078C"/>
    <w:rsid w:val="22A144DF"/>
    <w:rsid w:val="22EB689E"/>
    <w:rsid w:val="2472310C"/>
    <w:rsid w:val="249C2E00"/>
    <w:rsid w:val="26CE5027"/>
    <w:rsid w:val="26ED76A8"/>
    <w:rsid w:val="27F62AEE"/>
    <w:rsid w:val="2866365B"/>
    <w:rsid w:val="28FD1523"/>
    <w:rsid w:val="2B9D683D"/>
    <w:rsid w:val="2BDD6474"/>
    <w:rsid w:val="2CF23FA9"/>
    <w:rsid w:val="2DC54ADE"/>
    <w:rsid w:val="2DDE2C59"/>
    <w:rsid w:val="2E50057C"/>
    <w:rsid w:val="2F204A26"/>
    <w:rsid w:val="2F3045A4"/>
    <w:rsid w:val="2F567AA0"/>
    <w:rsid w:val="30043F67"/>
    <w:rsid w:val="309F5392"/>
    <w:rsid w:val="3161171F"/>
    <w:rsid w:val="319A28B2"/>
    <w:rsid w:val="3276083D"/>
    <w:rsid w:val="33905BDA"/>
    <w:rsid w:val="339B19D0"/>
    <w:rsid w:val="3508551A"/>
    <w:rsid w:val="359C0F7A"/>
    <w:rsid w:val="37776170"/>
    <w:rsid w:val="378B37C3"/>
    <w:rsid w:val="37BE57F0"/>
    <w:rsid w:val="383B0BDA"/>
    <w:rsid w:val="38F2725A"/>
    <w:rsid w:val="3941563D"/>
    <w:rsid w:val="39C037CE"/>
    <w:rsid w:val="3A791A5E"/>
    <w:rsid w:val="3A86167D"/>
    <w:rsid w:val="3AE332B3"/>
    <w:rsid w:val="3C8C247C"/>
    <w:rsid w:val="3D65545B"/>
    <w:rsid w:val="3E7C6D69"/>
    <w:rsid w:val="3FA119B7"/>
    <w:rsid w:val="40177DE3"/>
    <w:rsid w:val="40976810"/>
    <w:rsid w:val="409D5D7A"/>
    <w:rsid w:val="417A1877"/>
    <w:rsid w:val="422711D3"/>
    <w:rsid w:val="432253DD"/>
    <w:rsid w:val="43501007"/>
    <w:rsid w:val="43863DDA"/>
    <w:rsid w:val="444939F2"/>
    <w:rsid w:val="45551365"/>
    <w:rsid w:val="476F66C2"/>
    <w:rsid w:val="47DE1152"/>
    <w:rsid w:val="482809DA"/>
    <w:rsid w:val="4A0B7731"/>
    <w:rsid w:val="4A3A7537"/>
    <w:rsid w:val="4A9A751F"/>
    <w:rsid w:val="4AB8212E"/>
    <w:rsid w:val="4AE10089"/>
    <w:rsid w:val="4B177614"/>
    <w:rsid w:val="4B3A3DE4"/>
    <w:rsid w:val="4B77032C"/>
    <w:rsid w:val="4B852596"/>
    <w:rsid w:val="4BCA4DC2"/>
    <w:rsid w:val="4CC43F74"/>
    <w:rsid w:val="4D3806BD"/>
    <w:rsid w:val="4FA56487"/>
    <w:rsid w:val="4FC44EDC"/>
    <w:rsid w:val="503C6E3B"/>
    <w:rsid w:val="50997532"/>
    <w:rsid w:val="51296E07"/>
    <w:rsid w:val="515921BF"/>
    <w:rsid w:val="52C12FB4"/>
    <w:rsid w:val="53097B05"/>
    <w:rsid w:val="535B5D4C"/>
    <w:rsid w:val="53866EE0"/>
    <w:rsid w:val="538F587F"/>
    <w:rsid w:val="544E2FF3"/>
    <w:rsid w:val="551E7F0E"/>
    <w:rsid w:val="55B95F2B"/>
    <w:rsid w:val="55D63612"/>
    <w:rsid w:val="55D9538F"/>
    <w:rsid w:val="56B137E7"/>
    <w:rsid w:val="57CA68AA"/>
    <w:rsid w:val="59654F1B"/>
    <w:rsid w:val="59C96C7B"/>
    <w:rsid w:val="5A650D5A"/>
    <w:rsid w:val="5A8E6B50"/>
    <w:rsid w:val="5B526E3B"/>
    <w:rsid w:val="5D176670"/>
    <w:rsid w:val="5EFB5FCF"/>
    <w:rsid w:val="5F026EDF"/>
    <w:rsid w:val="60976762"/>
    <w:rsid w:val="614E761B"/>
    <w:rsid w:val="615674ED"/>
    <w:rsid w:val="61744EA1"/>
    <w:rsid w:val="637048DB"/>
    <w:rsid w:val="64AA146F"/>
    <w:rsid w:val="65335497"/>
    <w:rsid w:val="655759E3"/>
    <w:rsid w:val="65D76172"/>
    <w:rsid w:val="66C77325"/>
    <w:rsid w:val="68931D4F"/>
    <w:rsid w:val="68C6406F"/>
    <w:rsid w:val="6A1638AD"/>
    <w:rsid w:val="6B4551DF"/>
    <w:rsid w:val="6B9E2823"/>
    <w:rsid w:val="6C092392"/>
    <w:rsid w:val="6C7B77BD"/>
    <w:rsid w:val="6C992C34"/>
    <w:rsid w:val="6CA95923"/>
    <w:rsid w:val="6D756958"/>
    <w:rsid w:val="718B3849"/>
    <w:rsid w:val="723708CE"/>
    <w:rsid w:val="73656E86"/>
    <w:rsid w:val="7377015A"/>
    <w:rsid w:val="739D2BFF"/>
    <w:rsid w:val="75A01A91"/>
    <w:rsid w:val="75A62E64"/>
    <w:rsid w:val="75BB53FD"/>
    <w:rsid w:val="75E96582"/>
    <w:rsid w:val="761146D7"/>
    <w:rsid w:val="76470CAA"/>
    <w:rsid w:val="764D1082"/>
    <w:rsid w:val="766F2799"/>
    <w:rsid w:val="773B6256"/>
    <w:rsid w:val="77CF1A71"/>
    <w:rsid w:val="791F5341"/>
    <w:rsid w:val="7BF3685D"/>
    <w:rsid w:val="7D07233B"/>
    <w:rsid w:val="7D40391F"/>
    <w:rsid w:val="7DF96BCA"/>
    <w:rsid w:val="7E1251F4"/>
    <w:rsid w:val="7E6416AA"/>
    <w:rsid w:val="7EE66F59"/>
    <w:rsid w:val="7F1A6E76"/>
    <w:rsid w:val="7F1F783D"/>
    <w:rsid w:val="7FAF396D"/>
    <w:rsid w:val="E46DF715"/>
    <w:rsid w:val="EBBBE663"/>
    <w:rsid w:val="F5D501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autoRedefine/>
    <w:qFormat/>
    <w:uiPriority w:val="1"/>
    <w:pPr>
      <w:keepNext/>
      <w:keepLines/>
      <w:spacing w:before="340" w:after="330" w:line="576" w:lineRule="auto"/>
      <w:outlineLvl w:val="0"/>
    </w:pPr>
    <w:rPr>
      <w:b/>
      <w:kern w:val="44"/>
      <w:sz w:val="44"/>
    </w:rPr>
  </w:style>
  <w:style w:type="paragraph" w:styleId="3">
    <w:name w:val="heading 2"/>
    <w:basedOn w:val="1"/>
    <w:next w:val="1"/>
    <w:link w:val="30"/>
    <w:autoRedefine/>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autoRedefine/>
    <w:unhideWhenUsed/>
    <w:qFormat/>
    <w:uiPriority w:val="1"/>
    <w:pPr>
      <w:keepNext/>
      <w:keepLines/>
      <w:spacing w:before="260" w:after="260" w:line="413" w:lineRule="auto"/>
      <w:outlineLvl w:val="2"/>
    </w:pPr>
    <w:rPr>
      <w:b/>
      <w:sz w:val="32"/>
    </w:rPr>
  </w:style>
  <w:style w:type="paragraph" w:styleId="5">
    <w:name w:val="heading 4"/>
    <w:basedOn w:val="1"/>
    <w:next w:val="1"/>
    <w:link w:val="35"/>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1"/>
    <w:pPr>
      <w:keepNext/>
      <w:keepLines/>
      <w:spacing w:before="280" w:after="290" w:line="376" w:lineRule="auto"/>
      <w:outlineLvl w:val="4"/>
    </w:pPr>
    <w:rPr>
      <w:b/>
      <w:bCs/>
      <w:sz w:val="28"/>
      <w:szCs w:val="28"/>
    </w:rPr>
  </w:style>
  <w:style w:type="character" w:default="1" w:styleId="21">
    <w:name w:val="Default Paragraph Font"/>
    <w:autoRedefine/>
    <w:unhideWhenUsed/>
    <w:qFormat/>
    <w:uiPriority w:val="1"/>
  </w:style>
  <w:style w:type="table" w:default="1" w:styleId="19">
    <w:name w:val="Normal Table"/>
    <w:autoRedefine/>
    <w:unhideWhenUsed/>
    <w:qFormat/>
    <w:uiPriority w:val="99"/>
    <w:tblPr>
      <w:tblCellMar>
        <w:top w:w="0" w:type="dxa"/>
        <w:left w:w="108" w:type="dxa"/>
        <w:bottom w:w="0" w:type="dxa"/>
        <w:right w:w="108" w:type="dxa"/>
      </w:tblCellMar>
    </w:tblPr>
  </w:style>
  <w:style w:type="paragraph" w:styleId="7">
    <w:name w:val="Normal Indent"/>
    <w:basedOn w:val="1"/>
    <w:next w:val="8"/>
    <w:autoRedefine/>
    <w:qFormat/>
    <w:uiPriority w:val="0"/>
    <w:pPr>
      <w:spacing w:line="360" w:lineRule="auto"/>
      <w:ind w:firstLine="420" w:firstLineChars="200"/>
      <w:jc w:val="left"/>
    </w:pPr>
    <w:rPr>
      <w:rFonts w:ascii="仿宋_GB2312" w:hAnsi="Arial" w:eastAsia="仿宋_GB2312"/>
      <w:kern w:val="0"/>
      <w:sz w:val="30"/>
      <w:szCs w:val="30"/>
    </w:rPr>
  </w:style>
  <w:style w:type="paragraph" w:styleId="8">
    <w:name w:val="Body Text"/>
    <w:basedOn w:val="1"/>
    <w:link w:val="34"/>
    <w:autoRedefine/>
    <w:unhideWhenUsed/>
    <w:qFormat/>
    <w:uiPriority w:val="1"/>
    <w:pPr>
      <w:spacing w:after="120"/>
    </w:pPr>
  </w:style>
  <w:style w:type="paragraph" w:styleId="9">
    <w:name w:val="annotation text"/>
    <w:basedOn w:val="1"/>
    <w:link w:val="26"/>
    <w:autoRedefine/>
    <w:unhideWhenUsed/>
    <w:qFormat/>
    <w:uiPriority w:val="99"/>
    <w:pPr>
      <w:jc w:val="left"/>
    </w:pPr>
  </w:style>
  <w:style w:type="paragraph" w:styleId="10">
    <w:name w:val="Body Text Indent"/>
    <w:basedOn w:val="1"/>
    <w:autoRedefine/>
    <w:qFormat/>
    <w:uiPriority w:val="0"/>
    <w:pPr>
      <w:spacing w:after="120"/>
      <w:ind w:left="420" w:leftChars="200"/>
      <w:jc w:val="left"/>
    </w:pPr>
    <w:rPr>
      <w:rFonts w:hint="eastAsia" w:ascii="宋体" w:hAnsi="宋体" w:eastAsia="宋体"/>
      <w:kern w:val="0"/>
      <w:sz w:val="24"/>
      <w:szCs w:val="24"/>
    </w:rPr>
  </w:style>
  <w:style w:type="paragraph" w:styleId="11">
    <w:name w:val="Balloon Text"/>
    <w:basedOn w:val="1"/>
    <w:link w:val="36"/>
    <w:autoRedefine/>
    <w:unhideWhenUsed/>
    <w:qFormat/>
    <w:uiPriority w:val="99"/>
    <w:rPr>
      <w:sz w:val="18"/>
      <w:szCs w:val="18"/>
    </w:rPr>
  </w:style>
  <w:style w:type="paragraph" w:styleId="12">
    <w:name w:val="footer"/>
    <w:basedOn w:val="1"/>
    <w:link w:val="25"/>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3">
    <w:name w:val="header"/>
    <w:basedOn w:val="1"/>
    <w:link w:val="24"/>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4">
    <w:name w:val="toc 1"/>
    <w:basedOn w:val="1"/>
    <w:next w:val="1"/>
    <w:autoRedefine/>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5">
    <w:name w:val="Subtitle"/>
    <w:basedOn w:val="1"/>
    <w:next w:val="1"/>
    <w:link w:val="29"/>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6">
    <w:name w:val="toc 2"/>
    <w:basedOn w:val="1"/>
    <w:next w:val="1"/>
    <w:autoRedefine/>
    <w:unhideWhenUsed/>
    <w:qFormat/>
    <w:uiPriority w:val="39"/>
    <w:pPr>
      <w:tabs>
        <w:tab w:val="right" w:leader="dot" w:pos="8714"/>
      </w:tabs>
      <w:spacing w:line="360" w:lineRule="auto"/>
      <w:ind w:left="350" w:leftChars="350"/>
      <w:jc w:val="left"/>
    </w:pPr>
    <w:rPr>
      <w:rFonts w:eastAsia="Tms Rmn" w:cs="Courier"/>
      <w:smallCaps/>
      <w:sz w:val="30"/>
      <w:szCs w:val="20"/>
    </w:rPr>
  </w:style>
  <w:style w:type="paragraph" w:styleId="17">
    <w:name w:val="annotation subject"/>
    <w:basedOn w:val="9"/>
    <w:next w:val="9"/>
    <w:link w:val="27"/>
    <w:autoRedefine/>
    <w:unhideWhenUsed/>
    <w:qFormat/>
    <w:uiPriority w:val="99"/>
    <w:rPr>
      <w:b/>
      <w:bCs/>
    </w:rPr>
  </w:style>
  <w:style w:type="paragraph" w:styleId="18">
    <w:name w:val="Body Text First Indent 2"/>
    <w:basedOn w:val="10"/>
    <w:autoRedefine/>
    <w:qFormat/>
    <w:uiPriority w:val="0"/>
    <w:pPr>
      <w:ind w:firstLine="420"/>
    </w:pPr>
  </w:style>
  <w:style w:type="table" w:styleId="20">
    <w:name w:val="Table Grid"/>
    <w:basedOn w:val="1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autoRedefine/>
    <w:unhideWhenUsed/>
    <w:qFormat/>
    <w:uiPriority w:val="99"/>
    <w:rPr>
      <w:color w:val="0563C1" w:themeColor="hyperlink"/>
      <w:u w:val="single"/>
      <w14:textFill>
        <w14:solidFill>
          <w14:schemeClr w14:val="hlink"/>
        </w14:solidFill>
      </w14:textFill>
    </w:rPr>
  </w:style>
  <w:style w:type="character" w:styleId="23">
    <w:name w:val="annotation reference"/>
    <w:basedOn w:val="21"/>
    <w:autoRedefine/>
    <w:unhideWhenUsed/>
    <w:qFormat/>
    <w:uiPriority w:val="99"/>
    <w:rPr>
      <w:sz w:val="21"/>
      <w:szCs w:val="21"/>
    </w:rPr>
  </w:style>
  <w:style w:type="character" w:customStyle="1" w:styleId="24">
    <w:name w:val="页眉 Char"/>
    <w:basedOn w:val="21"/>
    <w:link w:val="13"/>
    <w:autoRedefine/>
    <w:qFormat/>
    <w:uiPriority w:val="99"/>
    <w:rPr>
      <w:sz w:val="18"/>
      <w:szCs w:val="18"/>
    </w:rPr>
  </w:style>
  <w:style w:type="character" w:customStyle="1" w:styleId="25">
    <w:name w:val="页脚 Char"/>
    <w:basedOn w:val="21"/>
    <w:link w:val="12"/>
    <w:autoRedefine/>
    <w:qFormat/>
    <w:uiPriority w:val="99"/>
    <w:rPr>
      <w:sz w:val="18"/>
      <w:szCs w:val="18"/>
    </w:rPr>
  </w:style>
  <w:style w:type="character" w:customStyle="1" w:styleId="26">
    <w:name w:val="批注文字 Char"/>
    <w:basedOn w:val="21"/>
    <w:link w:val="9"/>
    <w:autoRedefine/>
    <w:qFormat/>
    <w:uiPriority w:val="99"/>
    <w:rPr>
      <w:rFonts w:ascii="Times New Roman" w:hAnsi="Times New Roman" w:eastAsia="Courier New" w:cs="Times New Roman"/>
      <w:szCs w:val="21"/>
    </w:rPr>
  </w:style>
  <w:style w:type="character" w:customStyle="1" w:styleId="27">
    <w:name w:val="批注主题 Char"/>
    <w:basedOn w:val="26"/>
    <w:link w:val="17"/>
    <w:autoRedefine/>
    <w:semiHidden/>
    <w:qFormat/>
    <w:uiPriority w:val="99"/>
    <w:rPr>
      <w:rFonts w:ascii="Times New Roman" w:hAnsi="Times New Roman" w:eastAsia="Courier New" w:cs="Times New Roman"/>
      <w:b/>
      <w:bCs/>
      <w:szCs w:val="21"/>
    </w:rPr>
  </w:style>
  <w:style w:type="paragraph" w:customStyle="1" w:styleId="28">
    <w:name w:val="独立格式"/>
    <w:basedOn w:val="15"/>
    <w:autoRedefine/>
    <w:qFormat/>
    <w:uiPriority w:val="1"/>
    <w:pPr>
      <w:spacing w:before="0" w:after="0" w:line="360" w:lineRule="auto"/>
      <w:outlineLvl w:val="9"/>
    </w:pPr>
    <w:rPr>
      <w:rFonts w:ascii="Times New Roman" w:hAnsi="Times New Roman" w:eastAsia="Tms Rmn" w:cs="Times New Roman"/>
      <w:b w:val="0"/>
      <w:bCs w:val="0"/>
      <w:kern w:val="2"/>
      <w:szCs w:val="52"/>
    </w:rPr>
  </w:style>
  <w:style w:type="character" w:customStyle="1" w:styleId="29">
    <w:name w:val="副标题 Char"/>
    <w:basedOn w:val="21"/>
    <w:link w:val="15"/>
    <w:autoRedefine/>
    <w:qFormat/>
    <w:uiPriority w:val="11"/>
    <w:rPr>
      <w:b/>
      <w:bCs/>
      <w:kern w:val="28"/>
      <w:sz w:val="32"/>
      <w:szCs w:val="32"/>
    </w:rPr>
  </w:style>
  <w:style w:type="character" w:customStyle="1" w:styleId="30">
    <w:name w:val="标题 2 Char"/>
    <w:basedOn w:val="21"/>
    <w:link w:val="3"/>
    <w:autoRedefine/>
    <w:qFormat/>
    <w:uiPriority w:val="9"/>
    <w:rPr>
      <w:rFonts w:ascii="Arial" w:hAnsi="Arial" w:eastAsia="Symbol" w:cs="Times New Roman"/>
      <w:b/>
      <w:bCs/>
      <w:sz w:val="32"/>
      <w:szCs w:val="32"/>
    </w:rPr>
  </w:style>
  <w:style w:type="paragraph" w:customStyle="1" w:styleId="31">
    <w:name w:val="表格名称"/>
    <w:basedOn w:val="1"/>
    <w:autoRedefine/>
    <w:qFormat/>
    <w:uiPriority w:val="0"/>
    <w:pPr>
      <w:spacing w:line="360" w:lineRule="auto"/>
      <w:jc w:val="center"/>
    </w:pPr>
    <w:rPr>
      <w:rFonts w:eastAsia="Helv" w:cs="New York"/>
      <w:b/>
      <w:sz w:val="24"/>
      <w:szCs w:val="24"/>
    </w:rPr>
  </w:style>
  <w:style w:type="paragraph" w:customStyle="1" w:styleId="32">
    <w:name w:val="表格文字"/>
    <w:basedOn w:val="28"/>
    <w:next w:val="1"/>
    <w:autoRedefine/>
    <w:qFormat/>
    <w:uiPriority w:val="0"/>
    <w:pPr>
      <w:spacing w:line="360" w:lineRule="exact"/>
    </w:pPr>
    <w:rPr>
      <w:rFonts w:eastAsia="Helv" w:cs="New York"/>
      <w:sz w:val="24"/>
    </w:rPr>
  </w:style>
  <w:style w:type="character" w:customStyle="1" w:styleId="33">
    <w:name w:val="标题 5 Char"/>
    <w:basedOn w:val="21"/>
    <w:link w:val="6"/>
    <w:autoRedefine/>
    <w:semiHidden/>
    <w:qFormat/>
    <w:uiPriority w:val="9"/>
    <w:rPr>
      <w:rFonts w:ascii="Times New Roman" w:hAnsi="Times New Roman" w:eastAsia="Courier New" w:cs="Times New Roman"/>
      <w:b/>
      <w:bCs/>
      <w:sz w:val="28"/>
      <w:szCs w:val="28"/>
    </w:rPr>
  </w:style>
  <w:style w:type="character" w:customStyle="1" w:styleId="34">
    <w:name w:val="正文文本 Char"/>
    <w:basedOn w:val="21"/>
    <w:link w:val="8"/>
    <w:autoRedefine/>
    <w:semiHidden/>
    <w:qFormat/>
    <w:uiPriority w:val="99"/>
    <w:rPr>
      <w:rFonts w:ascii="Times New Roman" w:hAnsi="Times New Roman" w:eastAsia="Courier New" w:cs="Times New Roman"/>
      <w:szCs w:val="21"/>
    </w:rPr>
  </w:style>
  <w:style w:type="character" w:customStyle="1" w:styleId="35">
    <w:name w:val="标题 4 Char"/>
    <w:basedOn w:val="21"/>
    <w:link w:val="5"/>
    <w:autoRedefine/>
    <w:semiHidden/>
    <w:qFormat/>
    <w:uiPriority w:val="9"/>
    <w:rPr>
      <w:rFonts w:asciiTheme="majorHAnsi" w:hAnsiTheme="majorHAnsi" w:eastAsiaTheme="majorEastAsia" w:cstheme="majorBidi"/>
      <w:b/>
      <w:bCs/>
      <w:sz w:val="28"/>
      <w:szCs w:val="28"/>
    </w:rPr>
  </w:style>
  <w:style w:type="character" w:customStyle="1" w:styleId="36">
    <w:name w:val="批注框文本 Char"/>
    <w:basedOn w:val="21"/>
    <w:link w:val="11"/>
    <w:autoRedefine/>
    <w:semiHidden/>
    <w:qFormat/>
    <w:uiPriority w:val="99"/>
    <w:rPr>
      <w:rFonts w:ascii="Times New Roman" w:hAnsi="Times New Roman" w:eastAsia="Courier New" w:cs="Times New Roman"/>
      <w:kern w:val="2"/>
      <w:sz w:val="18"/>
      <w:szCs w:val="18"/>
    </w:rPr>
  </w:style>
  <w:style w:type="table" w:customStyle="1" w:styleId="37">
    <w:name w:val="Table Normal"/>
    <w:autoRedefine/>
    <w:unhideWhenUsed/>
    <w:qFormat/>
    <w:uiPriority w:val="2"/>
    <w:tblPr>
      <w:tblCellMar>
        <w:top w:w="0" w:type="dxa"/>
        <w:left w:w="0" w:type="dxa"/>
        <w:bottom w:w="0" w:type="dxa"/>
        <w:right w:w="0" w:type="dxa"/>
      </w:tblCellMar>
    </w:tblPr>
  </w:style>
  <w:style w:type="paragraph" w:customStyle="1" w:styleId="38">
    <w:name w:val="List Paragraph"/>
    <w:basedOn w:val="1"/>
    <w:autoRedefine/>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39">
    <w:name w:val="Table Paragraph"/>
    <w:basedOn w:val="1"/>
    <w:autoRedefine/>
    <w:qFormat/>
    <w:uiPriority w:val="1"/>
    <w:pPr>
      <w:autoSpaceDE w:val="0"/>
      <w:autoSpaceDN w:val="0"/>
      <w:jc w:val="left"/>
    </w:pPr>
    <w:rPr>
      <w:rFonts w:ascii="宋体" w:hAnsi="宋体" w:eastAsia="宋体" w:cs="宋体"/>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Pt>
            <c:idx val="10"/>
            <c:bubble3D val="0"/>
            <c:spPr>
              <a:solidFill>
                <a:schemeClr val="accent5">
                  <a:lumMod val="60000"/>
                </a:schemeClr>
              </a:solidFill>
              <a:ln>
                <a:solidFill>
                  <a:schemeClr val="bg1"/>
                </a:solidFill>
              </a:ln>
              <a:effectLst/>
            </c:spPr>
          </c:dPt>
          <c:dPt>
            <c:idx val="11"/>
            <c:bubble3D val="0"/>
            <c:spPr>
              <a:solidFill>
                <a:schemeClr val="accent6">
                  <a:lumMod val="60000"/>
                </a:schemeClr>
              </a:solidFill>
              <a:ln>
                <a:solidFill>
                  <a:schemeClr val="bg1"/>
                </a:solidFill>
              </a:ln>
              <a:effectLst/>
            </c:spPr>
          </c:dPt>
          <c:dPt>
            <c:idx val="12"/>
            <c:bubble3D val="0"/>
            <c:spPr>
              <a:solidFill>
                <a:schemeClr val="accent1">
                  <a:lumMod val="80000"/>
                  <a:lumOff val="20000"/>
                </a:schemeClr>
              </a:solidFill>
              <a:ln>
                <a:solidFill>
                  <a:schemeClr val="bg1"/>
                </a:solidFill>
              </a:ln>
              <a:effectLst/>
            </c:spPr>
          </c:dPt>
          <c:dPt>
            <c:idx val="13"/>
            <c:bubble3D val="0"/>
            <c:spPr>
              <a:solidFill>
                <a:schemeClr val="accent2">
                  <a:lumMod val="80000"/>
                  <a:lumOff val="2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本年一般公共预算收入</c:v>
                </c:pt>
                <c:pt idx="1">
                  <c:v>本年政府性基金预算收入</c:v>
                </c:pt>
                <c:pt idx="2">
                  <c:v>本年国有资本经营预算收入</c:v>
                </c:pt>
                <c:pt idx="3">
                  <c:v>本年财政专户管理资金</c:v>
                </c:pt>
                <c:pt idx="4">
                  <c:v>本年事业收入</c:v>
                </c:pt>
                <c:pt idx="5">
                  <c:v>本年事业单位经营收入</c:v>
                </c:pt>
                <c:pt idx="6">
                  <c:v>本年上级补助收入</c:v>
                </c:pt>
                <c:pt idx="7">
                  <c:v>本年附属单位上缴收入</c:v>
                </c:pt>
                <c:pt idx="8">
                  <c:v>本年其他收入</c:v>
                </c:pt>
                <c:pt idx="9">
                  <c:v>上年结转结余的一般公共预算收入</c:v>
                </c:pt>
                <c:pt idx="10">
                  <c:v>上年结转结余的政府性基金预算收入</c:v>
                </c:pt>
                <c:pt idx="11">
                  <c:v>上年结转结余的国有资本经营预算收入</c:v>
                </c:pt>
                <c:pt idx="12">
                  <c:v>上年结转结余的财政专户管理资金</c:v>
                </c:pt>
                <c:pt idx="13">
                  <c:v>上年结转结余的单位资金</c:v>
                </c:pt>
              </c:strCache>
            </c:strRef>
          </c:cat>
          <c:val>
            <c:numRef>
              <c:f>Sheet1!$B$2:$B$15</c:f>
              <c:numCache>
                <c:formatCode>General</c:formatCode>
                <c:ptCount val="14"/>
                <c:pt idx="0">
                  <c:v>685.88</c:v>
                </c:pt>
                <c:pt idx="1">
                  <c:v>0</c:v>
                </c:pt>
                <c:pt idx="2">
                  <c:v>0</c:v>
                </c:pt>
                <c:pt idx="3">
                  <c:v>0</c:v>
                </c:pt>
                <c:pt idx="4">
                  <c:v>0</c:v>
                </c:pt>
                <c:pt idx="5">
                  <c:v>0</c:v>
                </c:pt>
                <c:pt idx="6">
                  <c:v>0</c:v>
                </c:pt>
                <c:pt idx="7">
                  <c:v>0</c:v>
                </c:pt>
                <c:pt idx="8">
                  <c:v>11.71</c:v>
                </c:pt>
                <c:pt idx="9">
                  <c:v>0</c:v>
                </c:pt>
                <c:pt idx="10">
                  <c:v>0</c:v>
                </c:pt>
                <c:pt idx="11">
                  <c:v>0</c:v>
                </c:pt>
                <c:pt idx="12">
                  <c:v>0</c:v>
                </c:pt>
                <c:pt idx="1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支出预算图</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基本支出</c:v>
                </c:pt>
                <c:pt idx="1">
                  <c:v>项目支出</c:v>
                </c:pt>
                <c:pt idx="2">
                  <c:v>事业单位经营支出</c:v>
                </c:pt>
                <c:pt idx="3">
                  <c:v>上缴上级支出</c:v>
                </c:pt>
                <c:pt idx="4">
                  <c:v>对附属单位补助支出</c:v>
                </c:pt>
              </c:strCache>
            </c:strRef>
          </c:cat>
          <c:val>
            <c:numRef>
              <c:f>Sheet1!$B$2:$B$6</c:f>
              <c:numCache>
                <c:formatCode>General</c:formatCode>
                <c:ptCount val="5"/>
                <c:pt idx="0">
                  <c:v>157.51</c:v>
                </c:pt>
                <c:pt idx="1">
                  <c:v>540.08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7595</Words>
  <Characters>7852</Characters>
  <Lines>80</Lines>
  <Paragraphs>22</Paragraphs>
  <TotalTime>9</TotalTime>
  <ScaleCrop>false</ScaleCrop>
  <LinksUpToDate>false</LinksUpToDate>
  <CharactersWithSpaces>9241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2022-09-07T01:41:00Z</dcterms:created>
  <dc:creator>Richard Meng</dc:creator>
  <cp:lastModifiedBy>微信用户</cp:lastModifiedBy>
  <cp:lastPrinted>2022-09-03T08:20:00Z</cp:lastPrinted>
  <dcterms:modified xsi:type="dcterms:W3CDTF">2024-03-14T01:53:21Z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F4D0967208394CB4AE76D901F171C719</vt:lpwstr>
  </property>
  <property fmtid="{D5CDD505-2E9C-101B-9397-08002B2CF9AE}" pid="4" name="commondata">
    <vt:lpwstr>eyJoZGlkIjoiMDUyZTZiOWNhNTRkM2JiNDQwZWRmZDZjZTIwNDhiY2IifQ==</vt:lpwstr>
  </property>
</Properties>
</file>