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195" w:rsidRDefault="00595D3F">
      <w:pPr>
        <w:spacing w:line="52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附件5</w:t>
      </w:r>
    </w:p>
    <w:p w:rsidR="000D7195" w:rsidRDefault="000D7195">
      <w:pPr>
        <w:spacing w:line="520" w:lineRule="exact"/>
        <w:rPr>
          <w:rFonts w:ascii="仿宋_GB2312" w:eastAsia="仿宋_GB2312" w:hAnsi="仿宋_GB2312" w:cs="仿宋_GB2312"/>
          <w:color w:val="000000" w:themeColor="text1"/>
          <w:sz w:val="32"/>
          <w:szCs w:val="32"/>
        </w:rPr>
      </w:pPr>
    </w:p>
    <w:p w:rsidR="000D7195" w:rsidRDefault="00595D3F">
      <w:pPr>
        <w:spacing w:line="52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学业水平合格性考试信息技术考试要求</w:t>
      </w:r>
    </w:p>
    <w:p w:rsidR="000D7195" w:rsidRDefault="000D7195">
      <w:pPr>
        <w:spacing w:line="520" w:lineRule="exact"/>
        <w:rPr>
          <w:rFonts w:ascii="仿宋_GB2312" w:eastAsia="仿宋_GB2312" w:hAnsi="仿宋_GB2312" w:cs="仿宋_GB2312"/>
          <w:color w:val="000000" w:themeColor="text1"/>
          <w:sz w:val="32"/>
          <w:szCs w:val="32"/>
        </w:rPr>
      </w:pPr>
    </w:p>
    <w:p w:rsidR="000D7195" w:rsidRDefault="00595D3F">
      <w:pPr>
        <w:spacing w:line="52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一、考试范围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考试内容以</w:t>
      </w:r>
      <w:proofErr w:type="gramStart"/>
      <w:r>
        <w:rPr>
          <w:rFonts w:ascii="仿宋_GB2312" w:eastAsia="仿宋_GB2312" w:hAnsi="仿宋_GB2312" w:cs="仿宋_GB2312" w:hint="eastAsia"/>
          <w:color w:val="000000" w:themeColor="text1"/>
          <w:sz w:val="32"/>
          <w:szCs w:val="32"/>
        </w:rPr>
        <w:t>《</w:t>
      </w:r>
      <w:proofErr w:type="gramEnd"/>
      <w:r>
        <w:rPr>
          <w:rFonts w:ascii="仿宋_GB2312" w:eastAsia="仿宋_GB2312" w:hAnsi="仿宋_GB2312" w:cs="仿宋_GB2312" w:hint="eastAsia"/>
          <w:color w:val="000000" w:themeColor="text1"/>
          <w:sz w:val="32"/>
          <w:szCs w:val="32"/>
        </w:rPr>
        <w:t>普通高中信息技术课程标准（2017年版</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2020年修订）</w:t>
      </w:r>
      <w:proofErr w:type="gramStart"/>
      <w:r>
        <w:rPr>
          <w:rFonts w:ascii="仿宋_GB2312" w:eastAsia="仿宋_GB2312" w:hAnsi="仿宋_GB2312" w:cs="仿宋_GB2312" w:hint="eastAsia"/>
          <w:color w:val="000000" w:themeColor="text1"/>
          <w:sz w:val="32"/>
          <w:szCs w:val="32"/>
        </w:rPr>
        <w:t>》</w:t>
      </w:r>
      <w:proofErr w:type="gramEnd"/>
      <w:r>
        <w:rPr>
          <w:rFonts w:ascii="仿宋_GB2312" w:eastAsia="仿宋_GB2312" w:hAnsi="仿宋_GB2312" w:cs="仿宋_GB2312" w:hint="eastAsia"/>
          <w:color w:val="000000" w:themeColor="text1"/>
          <w:sz w:val="32"/>
          <w:szCs w:val="32"/>
        </w:rPr>
        <w:t>中规定的必修课程模块为主，重点考查学生在信息意识、计算思维、数字化学习与创新和信息社会责任四个方面的素养和能力。</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二、考试内容与方式</w:t>
      </w:r>
      <w:r>
        <w:rPr>
          <w:rFonts w:ascii="仿宋_GB2312" w:eastAsia="仿宋_GB2312" w:hAnsi="仿宋_GB2312" w:cs="仿宋_GB2312" w:hint="eastAsia"/>
          <w:color w:val="000000" w:themeColor="text1"/>
          <w:sz w:val="32"/>
          <w:szCs w:val="32"/>
        </w:rPr>
        <w:t xml:space="preserve">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普通高中信息技术科目学业水平合格性考试包含“过程</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性评价</w:t>
      </w:r>
      <w:proofErr w:type="gramStart"/>
      <w:r>
        <w:rPr>
          <w:rFonts w:ascii="仿宋_GB2312" w:eastAsia="仿宋_GB2312" w:hAnsi="仿宋_GB2312" w:cs="仿宋_GB2312" w:hint="eastAsia"/>
          <w:color w:val="000000" w:themeColor="text1"/>
          <w:sz w:val="32"/>
          <w:szCs w:val="32"/>
        </w:rPr>
        <w:t>”</w:t>
      </w:r>
      <w:proofErr w:type="gramEnd"/>
      <w:r>
        <w:rPr>
          <w:rFonts w:ascii="仿宋_GB2312" w:eastAsia="仿宋_GB2312" w:hAnsi="仿宋_GB2312" w:cs="仿宋_GB2312" w:hint="eastAsia"/>
          <w:color w:val="000000" w:themeColor="text1"/>
          <w:sz w:val="32"/>
          <w:szCs w:val="32"/>
        </w:rPr>
        <w:t>和“终结性评价”两部分，其中“过程性评价”分</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课内指标和课外指标，“终结性评价”为基础知识考试。</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（一）过程性评价</w:t>
      </w:r>
      <w:r>
        <w:rPr>
          <w:rFonts w:ascii="仿宋_GB2312" w:eastAsia="仿宋_GB2312" w:hAnsi="仿宋_GB2312" w:cs="仿宋_GB2312" w:hint="eastAsia"/>
          <w:color w:val="000000" w:themeColor="text1"/>
          <w:sz w:val="32"/>
          <w:szCs w:val="32"/>
        </w:rPr>
        <w:t xml:space="preserve">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过程性评价分为课内指标和课外指标。课内指标包含上课出勤率、参与度、课堂纪律、按要求完成教师布置的操作性项目任务等。课外指标为修习完每模块内容，需上交一件实践作品及其创作纪实材料作为评定依据。</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2.所占分值</w:t>
      </w:r>
    </w:p>
    <w:p w:rsidR="000D7195" w:rsidRDefault="00595D3F">
      <w:pPr>
        <w:spacing w:line="520" w:lineRule="exact"/>
        <w:jc w:val="center"/>
        <w:rPr>
          <w:rFonts w:ascii="楷体_GB2312" w:eastAsia="楷体_GB2312" w:hAnsi="楷体_GB2312" w:cs="楷体_GB2312"/>
          <w:color w:val="000000" w:themeColor="text1"/>
          <w:sz w:val="36"/>
          <w:szCs w:val="36"/>
        </w:rPr>
      </w:pPr>
      <w:r>
        <w:rPr>
          <w:rFonts w:ascii="楷体_GB2312" w:eastAsia="楷体_GB2312" w:hAnsi="楷体_GB2312" w:cs="楷体_GB2312" w:hint="eastAsia"/>
          <w:color w:val="000000" w:themeColor="text1"/>
          <w:sz w:val="36"/>
          <w:szCs w:val="36"/>
        </w:rPr>
        <w:t>过程性评价量表</w:t>
      </w:r>
    </w:p>
    <w:p w:rsidR="000D7195" w:rsidRDefault="000D7195">
      <w:pPr>
        <w:pStyle w:val="1"/>
        <w:rPr>
          <w:color w:val="000000" w:themeColor="text1"/>
        </w:rPr>
      </w:pPr>
    </w:p>
    <w:tbl>
      <w:tblPr>
        <w:tblStyle w:val="a7"/>
        <w:tblW w:w="0" w:type="auto"/>
        <w:tblLook w:val="04A0" w:firstRow="1" w:lastRow="0" w:firstColumn="1" w:lastColumn="0" w:noHBand="0" w:noVBand="1"/>
      </w:tblPr>
      <w:tblGrid>
        <w:gridCol w:w="1700"/>
        <w:gridCol w:w="3570"/>
        <w:gridCol w:w="1121"/>
        <w:gridCol w:w="2131"/>
      </w:tblGrid>
      <w:tr w:rsidR="000D7195">
        <w:tc>
          <w:tcPr>
            <w:tcW w:w="1700" w:type="dxa"/>
            <w:vAlign w:val="center"/>
          </w:tcPr>
          <w:p w:rsidR="000D7195" w:rsidRDefault="00595D3F">
            <w:pPr>
              <w:spacing w:line="52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指标内容</w:t>
            </w:r>
          </w:p>
        </w:tc>
        <w:tc>
          <w:tcPr>
            <w:tcW w:w="3570" w:type="dxa"/>
            <w:vAlign w:val="center"/>
          </w:tcPr>
          <w:p w:rsidR="000D7195" w:rsidRDefault="00595D3F">
            <w:pPr>
              <w:spacing w:line="52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项目</w:t>
            </w:r>
          </w:p>
        </w:tc>
        <w:tc>
          <w:tcPr>
            <w:tcW w:w="1121" w:type="dxa"/>
            <w:vAlign w:val="center"/>
          </w:tcPr>
          <w:p w:rsidR="000D7195" w:rsidRDefault="00595D3F">
            <w:pPr>
              <w:spacing w:line="52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分值</w:t>
            </w:r>
          </w:p>
        </w:tc>
        <w:tc>
          <w:tcPr>
            <w:tcW w:w="2131" w:type="dxa"/>
            <w:vAlign w:val="center"/>
          </w:tcPr>
          <w:p w:rsidR="000D7195" w:rsidRDefault="00595D3F">
            <w:pPr>
              <w:spacing w:line="52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教师评分</w:t>
            </w:r>
          </w:p>
        </w:tc>
      </w:tr>
      <w:tr w:rsidR="000D7195">
        <w:tc>
          <w:tcPr>
            <w:tcW w:w="1700" w:type="dxa"/>
            <w:vMerge w:val="restart"/>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课内指标</w:t>
            </w:r>
          </w:p>
        </w:tc>
        <w:tc>
          <w:tcPr>
            <w:tcW w:w="3570"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上课出勤率</w:t>
            </w:r>
          </w:p>
        </w:tc>
        <w:tc>
          <w:tcPr>
            <w:tcW w:w="1121"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w:t>
            </w:r>
          </w:p>
        </w:tc>
        <w:tc>
          <w:tcPr>
            <w:tcW w:w="2131" w:type="dxa"/>
            <w:vAlign w:val="center"/>
          </w:tcPr>
          <w:p w:rsidR="000D7195" w:rsidRDefault="000D7195">
            <w:pPr>
              <w:spacing w:line="520" w:lineRule="exact"/>
              <w:rPr>
                <w:rFonts w:ascii="仿宋_GB2312" w:eastAsia="仿宋_GB2312" w:hAnsi="仿宋_GB2312" w:cs="仿宋_GB2312"/>
                <w:color w:val="000000" w:themeColor="text1"/>
                <w:sz w:val="32"/>
                <w:szCs w:val="32"/>
              </w:rPr>
            </w:pPr>
          </w:p>
        </w:tc>
      </w:tr>
      <w:tr w:rsidR="000D7195">
        <w:tc>
          <w:tcPr>
            <w:tcW w:w="1700" w:type="dxa"/>
            <w:vMerge/>
            <w:vAlign w:val="center"/>
          </w:tcPr>
          <w:p w:rsidR="000D7195" w:rsidRDefault="000D7195">
            <w:pPr>
              <w:spacing w:line="520" w:lineRule="exact"/>
              <w:rPr>
                <w:rFonts w:ascii="仿宋_GB2312" w:eastAsia="仿宋_GB2312" w:hAnsi="仿宋_GB2312" w:cs="仿宋_GB2312"/>
                <w:color w:val="000000" w:themeColor="text1"/>
                <w:sz w:val="32"/>
                <w:szCs w:val="32"/>
              </w:rPr>
            </w:pPr>
          </w:p>
        </w:tc>
        <w:tc>
          <w:tcPr>
            <w:tcW w:w="3570"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课程实践参与度</w:t>
            </w:r>
          </w:p>
        </w:tc>
        <w:tc>
          <w:tcPr>
            <w:tcW w:w="1121"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p>
        </w:tc>
        <w:tc>
          <w:tcPr>
            <w:tcW w:w="2131" w:type="dxa"/>
            <w:vAlign w:val="center"/>
          </w:tcPr>
          <w:p w:rsidR="000D7195" w:rsidRDefault="000D7195">
            <w:pPr>
              <w:spacing w:line="520" w:lineRule="exact"/>
              <w:rPr>
                <w:rFonts w:ascii="仿宋_GB2312" w:eastAsia="仿宋_GB2312" w:hAnsi="仿宋_GB2312" w:cs="仿宋_GB2312"/>
                <w:color w:val="000000" w:themeColor="text1"/>
                <w:sz w:val="32"/>
                <w:szCs w:val="32"/>
              </w:rPr>
            </w:pPr>
          </w:p>
        </w:tc>
      </w:tr>
      <w:tr w:rsidR="000D7195">
        <w:tc>
          <w:tcPr>
            <w:tcW w:w="1700" w:type="dxa"/>
            <w:vMerge/>
            <w:vAlign w:val="center"/>
          </w:tcPr>
          <w:p w:rsidR="000D7195" w:rsidRDefault="000D7195">
            <w:pPr>
              <w:spacing w:line="520" w:lineRule="exact"/>
              <w:rPr>
                <w:rFonts w:ascii="仿宋_GB2312" w:eastAsia="仿宋_GB2312" w:hAnsi="仿宋_GB2312" w:cs="仿宋_GB2312"/>
                <w:color w:val="000000" w:themeColor="text1"/>
                <w:sz w:val="32"/>
                <w:szCs w:val="32"/>
              </w:rPr>
            </w:pPr>
          </w:p>
        </w:tc>
        <w:tc>
          <w:tcPr>
            <w:tcW w:w="3570"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课堂纪律</w:t>
            </w:r>
          </w:p>
        </w:tc>
        <w:tc>
          <w:tcPr>
            <w:tcW w:w="1121"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p>
        </w:tc>
        <w:tc>
          <w:tcPr>
            <w:tcW w:w="2131" w:type="dxa"/>
            <w:vAlign w:val="center"/>
          </w:tcPr>
          <w:p w:rsidR="000D7195" w:rsidRDefault="000D7195">
            <w:pPr>
              <w:spacing w:line="520" w:lineRule="exact"/>
              <w:rPr>
                <w:rFonts w:ascii="仿宋_GB2312" w:eastAsia="仿宋_GB2312" w:hAnsi="仿宋_GB2312" w:cs="仿宋_GB2312"/>
                <w:color w:val="000000" w:themeColor="text1"/>
                <w:sz w:val="32"/>
                <w:szCs w:val="32"/>
              </w:rPr>
            </w:pPr>
          </w:p>
        </w:tc>
      </w:tr>
      <w:tr w:rsidR="000D7195">
        <w:tc>
          <w:tcPr>
            <w:tcW w:w="1700" w:type="dxa"/>
            <w:vMerge/>
            <w:vAlign w:val="center"/>
          </w:tcPr>
          <w:p w:rsidR="000D7195" w:rsidRDefault="000D7195">
            <w:pPr>
              <w:spacing w:line="520" w:lineRule="exact"/>
              <w:rPr>
                <w:rFonts w:ascii="仿宋_GB2312" w:eastAsia="仿宋_GB2312" w:hAnsi="仿宋_GB2312" w:cs="仿宋_GB2312"/>
                <w:color w:val="000000" w:themeColor="text1"/>
                <w:sz w:val="32"/>
                <w:szCs w:val="32"/>
              </w:rPr>
            </w:pPr>
          </w:p>
        </w:tc>
        <w:tc>
          <w:tcPr>
            <w:tcW w:w="3570"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操作性项目任务完成</w:t>
            </w:r>
          </w:p>
        </w:tc>
        <w:tc>
          <w:tcPr>
            <w:tcW w:w="1121"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p>
        </w:tc>
        <w:tc>
          <w:tcPr>
            <w:tcW w:w="2131" w:type="dxa"/>
            <w:vAlign w:val="center"/>
          </w:tcPr>
          <w:p w:rsidR="000D7195" w:rsidRDefault="000D7195">
            <w:pPr>
              <w:spacing w:line="520" w:lineRule="exact"/>
              <w:rPr>
                <w:rFonts w:ascii="仿宋_GB2312" w:eastAsia="仿宋_GB2312" w:hAnsi="仿宋_GB2312" w:cs="仿宋_GB2312"/>
                <w:color w:val="000000" w:themeColor="text1"/>
                <w:sz w:val="32"/>
                <w:szCs w:val="32"/>
              </w:rPr>
            </w:pPr>
          </w:p>
        </w:tc>
      </w:tr>
      <w:tr w:rsidR="000D7195">
        <w:tc>
          <w:tcPr>
            <w:tcW w:w="1700"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课外指标</w:t>
            </w:r>
          </w:p>
        </w:tc>
        <w:tc>
          <w:tcPr>
            <w:tcW w:w="3570"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实践作品及其纪实材料</w:t>
            </w:r>
          </w:p>
        </w:tc>
        <w:tc>
          <w:tcPr>
            <w:tcW w:w="1121"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15</w:t>
            </w:r>
          </w:p>
        </w:tc>
        <w:tc>
          <w:tcPr>
            <w:tcW w:w="2131" w:type="dxa"/>
            <w:vAlign w:val="center"/>
          </w:tcPr>
          <w:p w:rsidR="000D7195" w:rsidRDefault="000D7195">
            <w:pPr>
              <w:spacing w:line="520" w:lineRule="exact"/>
              <w:rPr>
                <w:rFonts w:ascii="仿宋_GB2312" w:eastAsia="仿宋_GB2312" w:hAnsi="仿宋_GB2312" w:cs="仿宋_GB2312"/>
                <w:color w:val="000000" w:themeColor="text1"/>
                <w:sz w:val="32"/>
                <w:szCs w:val="32"/>
              </w:rPr>
            </w:pPr>
          </w:p>
        </w:tc>
      </w:tr>
      <w:tr w:rsidR="000D7195">
        <w:tc>
          <w:tcPr>
            <w:tcW w:w="1700" w:type="dxa"/>
            <w:vAlign w:val="center"/>
          </w:tcPr>
          <w:p w:rsidR="000D7195" w:rsidRDefault="000D7195">
            <w:pPr>
              <w:spacing w:line="520" w:lineRule="exact"/>
              <w:rPr>
                <w:rFonts w:ascii="仿宋_GB2312" w:eastAsia="仿宋_GB2312" w:hAnsi="仿宋_GB2312" w:cs="仿宋_GB2312"/>
                <w:color w:val="000000" w:themeColor="text1"/>
                <w:sz w:val="32"/>
                <w:szCs w:val="32"/>
              </w:rPr>
            </w:pPr>
          </w:p>
        </w:tc>
        <w:tc>
          <w:tcPr>
            <w:tcW w:w="3570"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合计</w:t>
            </w:r>
          </w:p>
        </w:tc>
        <w:tc>
          <w:tcPr>
            <w:tcW w:w="1121"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40</w:t>
            </w:r>
          </w:p>
        </w:tc>
        <w:tc>
          <w:tcPr>
            <w:tcW w:w="2131" w:type="dxa"/>
            <w:vAlign w:val="center"/>
          </w:tcPr>
          <w:p w:rsidR="000D7195" w:rsidRDefault="000D7195">
            <w:pPr>
              <w:spacing w:line="520" w:lineRule="exact"/>
              <w:rPr>
                <w:rFonts w:ascii="仿宋_GB2312" w:eastAsia="仿宋_GB2312" w:hAnsi="仿宋_GB2312" w:cs="仿宋_GB2312"/>
                <w:color w:val="000000" w:themeColor="text1"/>
                <w:sz w:val="32"/>
                <w:szCs w:val="32"/>
              </w:rPr>
            </w:pPr>
          </w:p>
        </w:tc>
      </w:tr>
    </w:tbl>
    <w:p w:rsidR="000D7195" w:rsidRDefault="000D7195">
      <w:pPr>
        <w:spacing w:line="520" w:lineRule="exact"/>
        <w:rPr>
          <w:rFonts w:ascii="仿宋_GB2312" w:eastAsia="仿宋_GB2312" w:hAnsi="仿宋_GB2312" w:cs="仿宋_GB2312"/>
          <w:color w:val="000000" w:themeColor="text1"/>
          <w:sz w:val="32"/>
          <w:szCs w:val="32"/>
        </w:rPr>
      </w:pP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3.考生须在“过程性评价”中获得3个必修学分，评价时间累计不少于3个学期。</w:t>
      </w:r>
    </w:p>
    <w:p w:rsidR="000D7195" w:rsidRDefault="00595D3F">
      <w:pPr>
        <w:spacing w:line="52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 xml:space="preserve">（二）终结性评价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终结性评价为基础知识测试，基础知识测试采用笔答卷方式。</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试卷结构：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1.考试时间：60分钟。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2.试卷分值：满分为60分。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3.难度比例：试题难度分为容易题、中等难度题和较难题，三者比例为7:2:1。</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4.试卷结构：考试内容包含“数据与计算”和“信息</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与社会</w:t>
      </w:r>
      <w:proofErr w:type="gramStart"/>
      <w:r>
        <w:rPr>
          <w:rFonts w:ascii="仿宋_GB2312" w:eastAsia="仿宋_GB2312" w:hAnsi="仿宋_GB2312" w:cs="仿宋_GB2312" w:hint="eastAsia"/>
          <w:color w:val="000000" w:themeColor="text1"/>
          <w:sz w:val="32"/>
          <w:szCs w:val="32"/>
        </w:rPr>
        <w:t>”</w:t>
      </w:r>
      <w:proofErr w:type="gramEnd"/>
      <w:r>
        <w:rPr>
          <w:rFonts w:ascii="仿宋_GB2312" w:eastAsia="仿宋_GB2312" w:hAnsi="仿宋_GB2312" w:cs="仿宋_GB2312" w:hint="eastAsia"/>
          <w:color w:val="000000" w:themeColor="text1"/>
          <w:sz w:val="32"/>
          <w:szCs w:val="32"/>
        </w:rPr>
        <w:t>两部分，其中“数据与计算”为主要内容。</w:t>
      </w:r>
    </w:p>
    <w:p w:rsidR="000D7195" w:rsidRDefault="00595D3F">
      <w:pPr>
        <w:spacing w:line="52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三、考试时间与安排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1.第三学期，学校按照过程性评价的评分标准对学生进行成绩评定，成绩汇总后上报。</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2.全盟统一进行理科实验科目考试，2022级安排在第四学期（高二下学期），2023级开始安排在第三学期（高二上学期），具体时间另行通知。</w:t>
      </w:r>
    </w:p>
    <w:p w:rsidR="000D7195" w:rsidRDefault="00595D3F">
      <w:pPr>
        <w:spacing w:line="52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四、成绩评定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1.信息技术科目学业水平合格性考试最终成绩为“过程</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性评价</w:t>
      </w:r>
      <w:proofErr w:type="gramStart"/>
      <w:r>
        <w:rPr>
          <w:rFonts w:ascii="仿宋_GB2312" w:eastAsia="仿宋_GB2312" w:hAnsi="仿宋_GB2312" w:cs="仿宋_GB2312" w:hint="eastAsia"/>
          <w:color w:val="000000" w:themeColor="text1"/>
          <w:sz w:val="32"/>
          <w:szCs w:val="32"/>
        </w:rPr>
        <w:t>”</w:t>
      </w:r>
      <w:proofErr w:type="gramEnd"/>
      <w:r>
        <w:rPr>
          <w:rFonts w:ascii="仿宋_GB2312" w:eastAsia="仿宋_GB2312" w:hAnsi="仿宋_GB2312" w:cs="仿宋_GB2312" w:hint="eastAsia"/>
          <w:color w:val="000000" w:themeColor="text1"/>
          <w:sz w:val="32"/>
          <w:szCs w:val="32"/>
        </w:rPr>
        <w:t>和“终结性评价”两部分成绩总和。其中“过程性</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评价</w:t>
      </w:r>
      <w:proofErr w:type="gramStart"/>
      <w:r>
        <w:rPr>
          <w:rFonts w:ascii="仿宋_GB2312" w:eastAsia="仿宋_GB2312" w:hAnsi="仿宋_GB2312" w:cs="仿宋_GB2312" w:hint="eastAsia"/>
          <w:color w:val="000000" w:themeColor="text1"/>
          <w:sz w:val="32"/>
          <w:szCs w:val="32"/>
        </w:rPr>
        <w:t>”</w:t>
      </w:r>
      <w:proofErr w:type="gramEnd"/>
      <w:r>
        <w:rPr>
          <w:rFonts w:ascii="仿宋_GB2312" w:eastAsia="仿宋_GB2312" w:hAnsi="仿宋_GB2312" w:cs="仿宋_GB2312" w:hint="eastAsia"/>
          <w:color w:val="000000" w:themeColor="text1"/>
          <w:sz w:val="32"/>
          <w:szCs w:val="32"/>
        </w:rPr>
        <w:t>占40分，“终结性评价”占60分，成绩以“合格/</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不合格</w:t>
      </w:r>
      <w:proofErr w:type="gramStart"/>
      <w:r>
        <w:rPr>
          <w:rFonts w:ascii="仿宋_GB2312" w:eastAsia="仿宋_GB2312" w:hAnsi="仿宋_GB2312" w:cs="仿宋_GB2312" w:hint="eastAsia"/>
          <w:color w:val="000000" w:themeColor="text1"/>
          <w:sz w:val="32"/>
          <w:szCs w:val="32"/>
        </w:rPr>
        <w:t>”</w:t>
      </w:r>
      <w:proofErr w:type="gramEnd"/>
      <w:r>
        <w:rPr>
          <w:rFonts w:ascii="仿宋_GB2312" w:eastAsia="仿宋_GB2312" w:hAnsi="仿宋_GB2312" w:cs="仿宋_GB2312" w:hint="eastAsia"/>
          <w:color w:val="000000" w:themeColor="text1"/>
          <w:sz w:val="32"/>
          <w:szCs w:val="32"/>
        </w:rPr>
        <w:t>呈现，总分60分及以上为“合格”，否则为“不</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合格</w:t>
      </w:r>
      <w:proofErr w:type="gramStart"/>
      <w:r>
        <w:rPr>
          <w:rFonts w:ascii="仿宋_GB2312" w:eastAsia="仿宋_GB2312" w:hAnsi="仿宋_GB2312" w:cs="仿宋_GB2312" w:hint="eastAsia"/>
          <w:color w:val="000000" w:themeColor="text1"/>
          <w:sz w:val="32"/>
          <w:szCs w:val="32"/>
        </w:rPr>
        <w:t>”</w:t>
      </w:r>
      <w:proofErr w:type="gramEnd"/>
      <w:r>
        <w:rPr>
          <w:rFonts w:ascii="仿宋_GB2312" w:eastAsia="仿宋_GB2312" w:hAnsi="仿宋_GB2312" w:cs="仿宋_GB2312" w:hint="eastAsia"/>
          <w:color w:val="000000" w:themeColor="text1"/>
          <w:sz w:val="32"/>
          <w:szCs w:val="32"/>
        </w:rPr>
        <w:t>。</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2.对少部分学生在本学科的相关技能或选项中有优异</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或突出水平的，应根据申请给予加试或综合评判，确实水平优异或突出的应给予真实记录并呈现在综合素质评价档案之中。</w:t>
      </w:r>
    </w:p>
    <w:p w:rsidR="000D7195" w:rsidRDefault="00595D3F">
      <w:pPr>
        <w:spacing w:line="52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五、加分政策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学生高中阶段参加各级教育行政部门组织的人工智能、</w:t>
      </w:r>
      <w:proofErr w:type="gramStart"/>
      <w:r>
        <w:rPr>
          <w:rFonts w:ascii="仿宋_GB2312" w:eastAsia="仿宋_GB2312" w:hAnsi="仿宋_GB2312" w:cs="仿宋_GB2312" w:hint="eastAsia"/>
          <w:color w:val="000000" w:themeColor="text1"/>
          <w:sz w:val="32"/>
          <w:szCs w:val="32"/>
        </w:rPr>
        <w:t>创客活动</w:t>
      </w:r>
      <w:proofErr w:type="gramEnd"/>
      <w:r>
        <w:rPr>
          <w:rFonts w:ascii="仿宋_GB2312" w:eastAsia="仿宋_GB2312" w:hAnsi="仿宋_GB2312" w:cs="仿宋_GB2312" w:hint="eastAsia"/>
          <w:color w:val="000000" w:themeColor="text1"/>
          <w:sz w:val="32"/>
          <w:szCs w:val="32"/>
        </w:rPr>
        <w:t>、软件编程等相关比赛活动情况可作为加分项（国家、自治区、盟市、旗县、校级分别加5分、4分、3分、2 分、1分，相同作品以最高级别计分，总加分不超过10分）。参加非教育行政部门举行的竞赛（活动）证书和名次不作为加分依据。</w:t>
      </w:r>
    </w:p>
    <w:p w:rsidR="000D7195" w:rsidRDefault="000D7195">
      <w:pPr>
        <w:spacing w:line="520" w:lineRule="exact"/>
        <w:rPr>
          <w:rFonts w:ascii="仿宋_GB2312" w:eastAsia="仿宋_GB2312" w:hAnsi="仿宋_GB2312" w:cs="仿宋_GB2312"/>
          <w:color w:val="000000" w:themeColor="text1"/>
          <w:sz w:val="32"/>
          <w:szCs w:val="32"/>
        </w:rPr>
      </w:pPr>
    </w:p>
    <w:p w:rsidR="000D7195" w:rsidRDefault="000D7195">
      <w:pPr>
        <w:spacing w:line="520" w:lineRule="exact"/>
        <w:rPr>
          <w:rFonts w:ascii="仿宋_GB2312" w:eastAsia="仿宋_GB2312" w:hAnsi="仿宋_GB2312" w:cs="仿宋_GB2312"/>
          <w:color w:val="000000" w:themeColor="text1"/>
          <w:sz w:val="32"/>
          <w:szCs w:val="32"/>
        </w:rPr>
      </w:pPr>
    </w:p>
    <w:p w:rsidR="000D7195" w:rsidRDefault="000D7195">
      <w:pPr>
        <w:spacing w:line="520" w:lineRule="exact"/>
        <w:rPr>
          <w:rFonts w:ascii="仿宋_GB2312" w:eastAsia="仿宋_GB2312" w:hAnsi="仿宋_GB2312" w:cs="仿宋_GB2312"/>
          <w:color w:val="000000" w:themeColor="text1"/>
          <w:sz w:val="32"/>
          <w:szCs w:val="32"/>
        </w:rPr>
      </w:pPr>
    </w:p>
    <w:p w:rsidR="000D7195" w:rsidRDefault="000D7195">
      <w:pPr>
        <w:pStyle w:val="1"/>
        <w:rPr>
          <w:rFonts w:ascii="仿宋_GB2312" w:eastAsia="仿宋_GB2312" w:hAnsi="仿宋_GB2312" w:cs="仿宋_GB2312"/>
          <w:color w:val="000000" w:themeColor="text1"/>
          <w:sz w:val="32"/>
          <w:szCs w:val="32"/>
        </w:rPr>
      </w:pPr>
    </w:p>
    <w:p w:rsidR="000D7195" w:rsidRDefault="000D7195">
      <w:pPr>
        <w:rPr>
          <w:rFonts w:ascii="仿宋_GB2312" w:eastAsia="仿宋_GB2312" w:hAnsi="仿宋_GB2312" w:cs="仿宋_GB2312"/>
          <w:color w:val="000000" w:themeColor="text1"/>
          <w:sz w:val="32"/>
          <w:szCs w:val="32"/>
        </w:rPr>
      </w:pPr>
    </w:p>
    <w:p w:rsidR="000D7195" w:rsidRDefault="000D7195">
      <w:pPr>
        <w:pStyle w:val="1"/>
        <w:rPr>
          <w:rFonts w:ascii="仿宋_GB2312" w:eastAsia="仿宋_GB2312" w:hAnsi="仿宋_GB2312" w:cs="仿宋_GB2312"/>
          <w:color w:val="000000" w:themeColor="text1"/>
          <w:sz w:val="32"/>
          <w:szCs w:val="32"/>
        </w:rPr>
      </w:pPr>
    </w:p>
    <w:p w:rsidR="000D7195" w:rsidRDefault="000D7195">
      <w:pPr>
        <w:rPr>
          <w:rFonts w:ascii="仿宋_GB2312" w:eastAsia="仿宋_GB2312" w:hAnsi="仿宋_GB2312" w:cs="仿宋_GB2312"/>
          <w:color w:val="000000" w:themeColor="text1"/>
          <w:sz w:val="32"/>
          <w:szCs w:val="32"/>
        </w:rPr>
      </w:pPr>
    </w:p>
    <w:p w:rsidR="000D7195" w:rsidRDefault="000D7195">
      <w:pPr>
        <w:pStyle w:val="1"/>
        <w:rPr>
          <w:rFonts w:ascii="仿宋_GB2312" w:eastAsia="仿宋_GB2312" w:hAnsi="仿宋_GB2312" w:cs="仿宋_GB2312"/>
          <w:color w:val="000000" w:themeColor="text1"/>
          <w:sz w:val="32"/>
          <w:szCs w:val="32"/>
        </w:rPr>
      </w:pPr>
    </w:p>
    <w:p w:rsidR="000D7195" w:rsidRDefault="000D7195">
      <w:pPr>
        <w:rPr>
          <w:rFonts w:ascii="仿宋_GB2312" w:eastAsia="仿宋_GB2312" w:hAnsi="仿宋_GB2312" w:cs="仿宋_GB2312"/>
          <w:color w:val="000000" w:themeColor="text1"/>
          <w:sz w:val="32"/>
          <w:szCs w:val="32"/>
        </w:rPr>
      </w:pPr>
    </w:p>
    <w:p w:rsidR="000D7195" w:rsidRDefault="000D7195">
      <w:pPr>
        <w:pStyle w:val="1"/>
        <w:rPr>
          <w:rFonts w:ascii="仿宋_GB2312" w:eastAsia="仿宋_GB2312" w:hAnsi="仿宋_GB2312" w:cs="仿宋_GB2312"/>
          <w:color w:val="000000" w:themeColor="text1"/>
          <w:sz w:val="32"/>
          <w:szCs w:val="32"/>
        </w:rPr>
      </w:pPr>
    </w:p>
    <w:p w:rsidR="000D7195" w:rsidRDefault="000D7195">
      <w:pPr>
        <w:rPr>
          <w:rFonts w:ascii="仿宋_GB2312" w:eastAsia="仿宋_GB2312" w:hAnsi="仿宋_GB2312" w:cs="仿宋_GB2312"/>
          <w:color w:val="000000" w:themeColor="text1"/>
          <w:sz w:val="32"/>
          <w:szCs w:val="32"/>
        </w:rPr>
      </w:pPr>
    </w:p>
    <w:p w:rsidR="000D7195" w:rsidRDefault="000D7195">
      <w:pPr>
        <w:pStyle w:val="1"/>
        <w:rPr>
          <w:rFonts w:ascii="仿宋_GB2312" w:eastAsia="仿宋_GB2312" w:hAnsi="仿宋_GB2312" w:cs="仿宋_GB2312"/>
          <w:color w:val="000000" w:themeColor="text1"/>
          <w:sz w:val="32"/>
          <w:szCs w:val="32"/>
        </w:rPr>
      </w:pPr>
    </w:p>
    <w:p w:rsidR="000D7195" w:rsidRDefault="000D7195">
      <w:pPr>
        <w:rPr>
          <w:color w:val="000000" w:themeColor="text1"/>
        </w:rPr>
      </w:pPr>
    </w:p>
    <w:p w:rsidR="000D7195" w:rsidRDefault="000D7195">
      <w:pPr>
        <w:spacing w:line="520" w:lineRule="exact"/>
        <w:rPr>
          <w:rFonts w:ascii="仿宋_GB2312" w:eastAsia="仿宋_GB2312" w:hAnsi="仿宋_GB2312" w:cs="仿宋_GB2312"/>
          <w:color w:val="000000" w:themeColor="text1"/>
          <w:sz w:val="32"/>
          <w:szCs w:val="32"/>
        </w:rPr>
      </w:pPr>
      <w:bookmarkStart w:id="0" w:name="_GoBack"/>
      <w:bookmarkEnd w:id="0"/>
    </w:p>
    <w:sectPr w:rsidR="000D7195">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D8B" w:rsidRDefault="00462D8B">
      <w:r>
        <w:separator/>
      </w:r>
    </w:p>
  </w:endnote>
  <w:endnote w:type="continuationSeparator" w:id="0">
    <w:p w:rsidR="00462D8B" w:rsidRDefault="0046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dobe 宋体 Std L">
    <w:altName w:val="宋体"/>
    <w:charset w:val="00"/>
    <w:family w:val="auto"/>
    <w:pitch w:val="default"/>
    <w:sig w:usb0="00000000" w:usb1="00000000" w:usb2="00000016" w:usb3="00000000" w:csb0="00060007"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195" w:rsidRDefault="00595D3F">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7195" w:rsidRDefault="00595D3F">
                          <w:pPr>
                            <w:pStyle w:val="a5"/>
                          </w:pPr>
                          <w:r>
                            <w:fldChar w:fldCharType="begin"/>
                          </w:r>
                          <w:r>
                            <w:instrText xml:space="preserve"> PAGE  \* MERGEFORMAT </w:instrText>
                          </w:r>
                          <w:r>
                            <w:fldChar w:fldCharType="separate"/>
                          </w:r>
                          <w:r w:rsidR="007A3DA8">
                            <w:rPr>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D7195" w:rsidRDefault="00595D3F">
                    <w:pPr>
                      <w:pStyle w:val="a5"/>
                    </w:pPr>
                    <w:r>
                      <w:fldChar w:fldCharType="begin"/>
                    </w:r>
                    <w:r>
                      <w:instrText xml:space="preserve"> PAGE  \* MERGEFORMAT </w:instrText>
                    </w:r>
                    <w:r>
                      <w:fldChar w:fldCharType="separate"/>
                    </w:r>
                    <w:r w:rsidR="007A3DA8">
                      <w:rPr>
                        <w:noProof/>
                      </w:rPr>
                      <w:t>- 2 -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D8B" w:rsidRDefault="00462D8B">
      <w:r>
        <w:separator/>
      </w:r>
    </w:p>
  </w:footnote>
  <w:footnote w:type="continuationSeparator" w:id="0">
    <w:p w:rsidR="00462D8B" w:rsidRDefault="00462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ZTFiNjkzMGFmNTNmMGU5NjQ3NzRmMmI0ZWFjNTkifQ=="/>
  </w:docVars>
  <w:rsids>
    <w:rsidRoot w:val="7B25698D"/>
    <w:rsid w:val="000D7195"/>
    <w:rsid w:val="00462D8B"/>
    <w:rsid w:val="0054460C"/>
    <w:rsid w:val="00595D3F"/>
    <w:rsid w:val="007A3DA8"/>
    <w:rsid w:val="00CC2818"/>
    <w:rsid w:val="031D51B0"/>
    <w:rsid w:val="06205F6B"/>
    <w:rsid w:val="07127832"/>
    <w:rsid w:val="0E647EF4"/>
    <w:rsid w:val="0F101AE8"/>
    <w:rsid w:val="10B85FB1"/>
    <w:rsid w:val="12F63DBA"/>
    <w:rsid w:val="16054941"/>
    <w:rsid w:val="16DC407B"/>
    <w:rsid w:val="173E0892"/>
    <w:rsid w:val="188260C7"/>
    <w:rsid w:val="19F83233"/>
    <w:rsid w:val="20370574"/>
    <w:rsid w:val="23D902C0"/>
    <w:rsid w:val="24575689"/>
    <w:rsid w:val="25E062B2"/>
    <w:rsid w:val="28F21A08"/>
    <w:rsid w:val="2DA91BAD"/>
    <w:rsid w:val="2FBC1EE1"/>
    <w:rsid w:val="30E20088"/>
    <w:rsid w:val="32E0684A"/>
    <w:rsid w:val="391F32D3"/>
    <w:rsid w:val="39D569DC"/>
    <w:rsid w:val="3A9834B4"/>
    <w:rsid w:val="3D08531B"/>
    <w:rsid w:val="3E9E0431"/>
    <w:rsid w:val="3F5A19B1"/>
    <w:rsid w:val="405D09DB"/>
    <w:rsid w:val="418A3570"/>
    <w:rsid w:val="42B47F7E"/>
    <w:rsid w:val="46CB1893"/>
    <w:rsid w:val="47283EBB"/>
    <w:rsid w:val="4AAE5753"/>
    <w:rsid w:val="4AD056CA"/>
    <w:rsid w:val="56207CEB"/>
    <w:rsid w:val="5BB26726"/>
    <w:rsid w:val="5DE96D9A"/>
    <w:rsid w:val="5F8B79B9"/>
    <w:rsid w:val="604E1113"/>
    <w:rsid w:val="60F82E2D"/>
    <w:rsid w:val="68792AA5"/>
    <w:rsid w:val="69D84B52"/>
    <w:rsid w:val="6CD62D60"/>
    <w:rsid w:val="6E3B6A4F"/>
    <w:rsid w:val="6F01059C"/>
    <w:rsid w:val="711209D1"/>
    <w:rsid w:val="741D06A5"/>
    <w:rsid w:val="76A35191"/>
    <w:rsid w:val="77866F31"/>
    <w:rsid w:val="7B0528FD"/>
    <w:rsid w:val="7B25698D"/>
    <w:rsid w:val="7C442225"/>
    <w:rsid w:val="7CD275C8"/>
    <w:rsid w:val="7E3B4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4CA50DE-7EE0-4588-9D61-42C5C195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semiHidden="1"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qFormat/>
    <w:pPr>
      <w:ind w:firstLine="560"/>
    </w:pPr>
    <w:rPr>
      <w:rFonts w:ascii="Adobe 宋体 Std L" w:eastAsia="Adobe 宋体 Std L" w:hAnsi="Adobe 宋体 Std L"/>
      <w:szCs w:val="28"/>
    </w:rPr>
  </w:style>
  <w:style w:type="paragraph" w:styleId="a3">
    <w:name w:val="annotation text"/>
    <w:basedOn w:val="a"/>
    <w:autoRedefine/>
    <w:uiPriority w:val="99"/>
    <w:semiHidden/>
    <w:unhideWhenUsed/>
    <w:qFormat/>
    <w:pPr>
      <w:jc w:val="left"/>
    </w:pPr>
  </w:style>
  <w:style w:type="paragraph" w:styleId="a4">
    <w:name w:val="Body Text"/>
    <w:basedOn w:val="a"/>
    <w:autoRedefine/>
    <w:qFormat/>
    <w:pPr>
      <w:spacing w:line="720" w:lineRule="exact"/>
      <w:jc w:val="center"/>
    </w:pPr>
    <w:rPr>
      <w:rFonts w:eastAsia="华文中宋"/>
      <w:sz w:val="44"/>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DBFBDD"/>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167</Words>
  <Characters>954</Characters>
  <Application>Microsoft Office Word</Application>
  <DocSecurity>0</DocSecurity>
  <Lines>7</Lines>
  <Paragraphs>2</Paragraphs>
  <ScaleCrop>false</ScaleCrop>
  <Company>P R C</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绿色草原</dc:creator>
  <cp:lastModifiedBy>Windows User</cp:lastModifiedBy>
  <cp:revision>4</cp:revision>
  <cp:lastPrinted>2024-02-04T02:02:00Z</cp:lastPrinted>
  <dcterms:created xsi:type="dcterms:W3CDTF">2024-02-02T00:55:00Z</dcterms:created>
  <dcterms:modified xsi:type="dcterms:W3CDTF">2024-03-05T12:24:00Z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4EF3D14D95DD4A9F9E5B765AEADF2609_11</vt:lpwstr>
  </property>
</Properties>
</file>