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95" w:rsidRDefault="00595D3F">
      <w:pPr>
        <w:spacing w:line="520" w:lineRule="exact"/>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附件2</w:t>
      </w:r>
      <w:r>
        <w:rPr>
          <w:rFonts w:ascii="仿宋_GB2312" w:eastAsia="仿宋_GB2312" w:hAnsi="仿宋_GB2312" w:cs="仿宋_GB2312" w:hint="eastAsia"/>
          <w:color w:val="000000" w:themeColor="text1"/>
          <w:sz w:val="32"/>
          <w:szCs w:val="32"/>
        </w:rPr>
        <w:t xml:space="preserve"> </w:t>
      </w:r>
    </w:p>
    <w:p w:rsidR="000D7195" w:rsidRDefault="000D7195">
      <w:pPr>
        <w:spacing w:line="520" w:lineRule="exact"/>
        <w:jc w:val="center"/>
        <w:rPr>
          <w:rFonts w:ascii="方正小标宋简体" w:eastAsia="方正小标宋简体" w:hAnsi="方正小标宋简体" w:cs="方正小标宋简体"/>
          <w:color w:val="000000" w:themeColor="text1"/>
          <w:sz w:val="44"/>
          <w:szCs w:val="44"/>
        </w:rPr>
      </w:pPr>
    </w:p>
    <w:p w:rsidR="000D7195" w:rsidRDefault="00595D3F">
      <w:pPr>
        <w:spacing w:line="52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学业水平合格性考试体育与健康考试要求</w:t>
      </w: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一、考试范围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考试内容以《普通高中体育与健康课程标准（2017年版</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2020年修订）》中规定的必修课程模块为主，重点考查学生在运动能力、健康行为和体育品德三个方面的素养和能力。</w:t>
      </w: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二、考试内容与方式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普通高中体育与健康科目学业水平合格性考试包含“过 </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程性评价”和“终结性评价”两部分，其中“过程性评价”</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分课内指标和课外指标，“终结性评价”为体育学科素养达 </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成指标考试，其中包含体质健康测试和运动技能测试两部分。</w:t>
      </w:r>
    </w:p>
    <w:p w:rsidR="000D7195" w:rsidRDefault="00595D3F">
      <w:pPr>
        <w:spacing w:line="52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 xml:space="preserve">（一）过程性评价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过程性评价分为课内指标和课外指标。课内指标包含上课出勤率、参与度、按要求完成学习任务情况等。课外指标为参加学校组织的体育兴趣小组、体育社团、各类综合体育活动表现以及参与校内外体育活动和大型文体活动情况。</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2.所占分值</w:t>
      </w:r>
    </w:p>
    <w:p w:rsidR="000D7195" w:rsidRDefault="00595D3F">
      <w:pPr>
        <w:spacing w:line="520" w:lineRule="exact"/>
        <w:jc w:val="center"/>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6"/>
          <w:szCs w:val="36"/>
        </w:rPr>
        <w:t>过程性评价量表</w:t>
      </w:r>
    </w:p>
    <w:p w:rsidR="000D7195" w:rsidRDefault="000D7195">
      <w:pPr>
        <w:spacing w:line="520" w:lineRule="exact"/>
        <w:rPr>
          <w:rFonts w:ascii="仿宋_GB2312" w:eastAsia="仿宋_GB2312" w:hAnsi="仿宋_GB2312" w:cs="仿宋_GB2312"/>
          <w:color w:val="000000" w:themeColor="text1"/>
          <w:sz w:val="32"/>
          <w:szCs w:val="32"/>
        </w:rPr>
      </w:pPr>
    </w:p>
    <w:tbl>
      <w:tblPr>
        <w:tblStyle w:val="a7"/>
        <w:tblW w:w="0" w:type="auto"/>
        <w:tblLook w:val="04A0" w:firstRow="1" w:lastRow="0" w:firstColumn="1" w:lastColumn="0" w:noHBand="0" w:noVBand="1"/>
      </w:tblPr>
      <w:tblGrid>
        <w:gridCol w:w="1700"/>
        <w:gridCol w:w="3840"/>
        <w:gridCol w:w="851"/>
        <w:gridCol w:w="233"/>
        <w:gridCol w:w="1898"/>
      </w:tblGrid>
      <w:tr w:rsidR="000D7195">
        <w:tc>
          <w:tcPr>
            <w:tcW w:w="1700" w:type="dxa"/>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指标内容</w:t>
            </w:r>
          </w:p>
        </w:tc>
        <w:tc>
          <w:tcPr>
            <w:tcW w:w="3840" w:type="dxa"/>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项目</w:t>
            </w:r>
          </w:p>
        </w:tc>
        <w:tc>
          <w:tcPr>
            <w:tcW w:w="1084" w:type="dxa"/>
            <w:gridSpan w:val="2"/>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分值</w:t>
            </w:r>
          </w:p>
        </w:tc>
        <w:tc>
          <w:tcPr>
            <w:tcW w:w="1898" w:type="dxa"/>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教师评分</w:t>
            </w:r>
          </w:p>
        </w:tc>
      </w:tr>
      <w:tr w:rsidR="000D7195">
        <w:tc>
          <w:tcPr>
            <w:tcW w:w="1700" w:type="dxa"/>
            <w:vMerge w:val="restart"/>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课内指标</w:t>
            </w:r>
          </w:p>
        </w:tc>
        <w:tc>
          <w:tcPr>
            <w:tcW w:w="384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上课出勤率</w:t>
            </w:r>
          </w:p>
        </w:tc>
        <w:tc>
          <w:tcPr>
            <w:tcW w:w="85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p>
        </w:tc>
        <w:tc>
          <w:tcPr>
            <w:tcW w:w="2131" w:type="dxa"/>
            <w:gridSpan w:val="2"/>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84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课程实践参与度</w:t>
            </w:r>
          </w:p>
        </w:tc>
        <w:tc>
          <w:tcPr>
            <w:tcW w:w="85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2131" w:type="dxa"/>
            <w:gridSpan w:val="2"/>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84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按课标完成学习任务</w:t>
            </w:r>
          </w:p>
        </w:tc>
        <w:tc>
          <w:tcPr>
            <w:tcW w:w="85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p>
        </w:tc>
        <w:tc>
          <w:tcPr>
            <w:tcW w:w="2131" w:type="dxa"/>
            <w:gridSpan w:val="2"/>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Merge w:val="restart"/>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课外指标</w:t>
            </w:r>
          </w:p>
        </w:tc>
        <w:tc>
          <w:tcPr>
            <w:tcW w:w="384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参与学校组织活动表现</w:t>
            </w:r>
          </w:p>
        </w:tc>
        <w:tc>
          <w:tcPr>
            <w:tcW w:w="85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p>
        </w:tc>
        <w:tc>
          <w:tcPr>
            <w:tcW w:w="2131" w:type="dxa"/>
            <w:gridSpan w:val="2"/>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84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校内外体育活动情况</w:t>
            </w:r>
          </w:p>
        </w:tc>
        <w:tc>
          <w:tcPr>
            <w:tcW w:w="85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2131" w:type="dxa"/>
            <w:gridSpan w:val="2"/>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84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合计</w:t>
            </w:r>
          </w:p>
        </w:tc>
        <w:tc>
          <w:tcPr>
            <w:tcW w:w="85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40</w:t>
            </w:r>
          </w:p>
        </w:tc>
        <w:tc>
          <w:tcPr>
            <w:tcW w:w="2131" w:type="dxa"/>
            <w:gridSpan w:val="2"/>
            <w:vAlign w:val="center"/>
          </w:tcPr>
          <w:p w:rsidR="000D7195" w:rsidRDefault="000D7195">
            <w:pPr>
              <w:spacing w:line="520" w:lineRule="exact"/>
              <w:rPr>
                <w:rFonts w:ascii="仿宋_GB2312" w:eastAsia="仿宋_GB2312" w:hAnsi="仿宋_GB2312" w:cs="仿宋_GB2312"/>
                <w:color w:val="000000" w:themeColor="text1"/>
                <w:sz w:val="32"/>
                <w:szCs w:val="32"/>
              </w:rPr>
            </w:pPr>
          </w:p>
        </w:tc>
      </w:tr>
    </w:tbl>
    <w:p w:rsidR="000D7195" w:rsidRDefault="000D7195">
      <w:pPr>
        <w:spacing w:line="520" w:lineRule="exact"/>
        <w:rPr>
          <w:rFonts w:ascii="仿宋_GB2312" w:eastAsia="仿宋_GB2312" w:hAnsi="仿宋_GB2312" w:cs="仿宋_GB2312"/>
          <w:color w:val="000000" w:themeColor="text1"/>
          <w:sz w:val="32"/>
          <w:szCs w:val="32"/>
        </w:rPr>
      </w:pPr>
    </w:p>
    <w:p w:rsidR="000D7195" w:rsidRDefault="00595D3F">
      <w:pPr>
        <w:spacing w:line="52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 xml:space="preserve">（二）终结性评价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终结性评价为体育学科素养达成指标考试，包含体质健康测试和运动技能测试两部分。体质健康测试按《国家学生体质健康标准》所列项目和标准进行测试和评分，三年测试结果的平均分数按照成绩评定的要求折合成最终成绩与过程性评价成绩一并上报。运动技能测试在各地教育局领导下由各高中校在田径（男子1000米、女子800米）、体操（健美操）、球类（篮球、排球、足球、乒乓球、羽毛球）、跳绳等运动项目中任选两项安排考生参加考试。</w:t>
      </w: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三、考试时间与安排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1.体质健康测试每学年测试一次，按国家统一测试时间测试。</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2.第五学期全盟统一进行运动技能测试，具体时间另行通知。</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四、成绩评定</w:t>
      </w:r>
      <w:r>
        <w:rPr>
          <w:rFonts w:ascii="仿宋_GB2312" w:eastAsia="仿宋_GB2312" w:hAnsi="仿宋_GB2312" w:cs="仿宋_GB2312" w:hint="eastAsia"/>
          <w:color w:val="000000" w:themeColor="text1"/>
          <w:sz w:val="32"/>
          <w:szCs w:val="32"/>
        </w:rPr>
        <w:t xml:space="preserve">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1.体育与健康科目学业水平合格性考试最终成绩为“过</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程性评价”和“终结性评价”两部分成绩总和。其中“过程</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性评价”占40分。“终结性评价”占60分，其中体质健康</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测试分值占比为60%，运动技能测试分值占比为40%，成绩以“合格/不合格”呈现，总分60分及以上为“合格”，否则为“不合格”。</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2.对少部分学生在本学科的相关技能或选项中有优异</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或突出水平的，应根据申请给予加试或综合评判，确实水平</w:t>
      </w:r>
      <w:r>
        <w:rPr>
          <w:rFonts w:ascii="仿宋_GB2312" w:eastAsia="仿宋_GB2312" w:hAnsi="仿宋_GB2312" w:cs="仿宋_GB2312" w:hint="eastAsia"/>
          <w:color w:val="000000" w:themeColor="text1"/>
          <w:sz w:val="32"/>
          <w:szCs w:val="32"/>
        </w:rPr>
        <w:lastRenderedPageBreak/>
        <w:t>优异或突出的应给予真实记录并呈现在综合素质评价档案之中。</w:t>
      </w: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五、加分政策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学生高中阶段参加各级教育行政部门组织的体育活动情况可作为加分项（国家、自治区、盟市、旗县、校级分别</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加5分、4分、3分、2分、1分，相同作品以最高级别计分，总加分不超过10分）。参加社会体育考级、非教育行政部门举行的体育竞赛（活动）不作为加分依据。</w:t>
      </w: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color w:val="000000" w:themeColor="text1"/>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color w:val="000000" w:themeColor="text1"/>
        </w:rPr>
      </w:pPr>
    </w:p>
    <w:p w:rsidR="000D7195" w:rsidRDefault="000D7195">
      <w:pPr>
        <w:spacing w:line="520" w:lineRule="exact"/>
        <w:rPr>
          <w:rFonts w:ascii="仿宋_GB2312" w:eastAsia="仿宋_GB2312" w:hAnsi="仿宋_GB2312" w:cs="仿宋_GB2312"/>
          <w:color w:val="000000" w:themeColor="text1"/>
          <w:sz w:val="32"/>
          <w:szCs w:val="32"/>
        </w:rPr>
      </w:pPr>
      <w:bookmarkStart w:id="0" w:name="_GoBack"/>
      <w:bookmarkEnd w:id="0"/>
    </w:p>
    <w:sectPr w:rsidR="000D719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DA8" w:rsidRDefault="001C4DA8">
      <w:r>
        <w:separator/>
      </w:r>
    </w:p>
  </w:endnote>
  <w:endnote w:type="continuationSeparator" w:id="0">
    <w:p w:rsidR="001C4DA8" w:rsidRDefault="001C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宋体 Std L">
    <w:altName w:val="宋体"/>
    <w:charset w:val="00"/>
    <w:family w:val="auto"/>
    <w:pitch w:val="default"/>
    <w:sig w:usb0="00000000" w:usb1="00000000" w:usb2="00000016" w:usb3="00000000" w:csb0="00060007"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95" w:rsidRDefault="00595D3F">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7195" w:rsidRDefault="00595D3F">
                          <w:pPr>
                            <w:pStyle w:val="a5"/>
                          </w:pPr>
                          <w:r>
                            <w:fldChar w:fldCharType="begin"/>
                          </w:r>
                          <w:r>
                            <w:instrText xml:space="preserve"> PAGE  \* MERGEFORMAT </w:instrText>
                          </w:r>
                          <w:r>
                            <w:fldChar w:fldCharType="separate"/>
                          </w:r>
                          <w:r w:rsidR="007252C2">
                            <w:rPr>
                              <w:noProof/>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D7195" w:rsidRDefault="00595D3F">
                    <w:pPr>
                      <w:pStyle w:val="a5"/>
                    </w:pPr>
                    <w:r>
                      <w:fldChar w:fldCharType="begin"/>
                    </w:r>
                    <w:r>
                      <w:instrText xml:space="preserve"> PAGE  \* MERGEFORMAT </w:instrText>
                    </w:r>
                    <w:r>
                      <w:fldChar w:fldCharType="separate"/>
                    </w:r>
                    <w:r w:rsidR="007252C2">
                      <w:rPr>
                        <w:noProof/>
                      </w:rPr>
                      <w:t>- 3 -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DA8" w:rsidRDefault="001C4DA8">
      <w:r>
        <w:separator/>
      </w:r>
    </w:p>
  </w:footnote>
  <w:footnote w:type="continuationSeparator" w:id="0">
    <w:p w:rsidR="001C4DA8" w:rsidRDefault="001C4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ZTFiNjkzMGFmNTNmMGU5NjQ3NzRmMmI0ZWFjNTkifQ=="/>
  </w:docVars>
  <w:rsids>
    <w:rsidRoot w:val="7B25698D"/>
    <w:rsid w:val="000D7195"/>
    <w:rsid w:val="001C4DA8"/>
    <w:rsid w:val="00595D3F"/>
    <w:rsid w:val="007252C2"/>
    <w:rsid w:val="00CC2818"/>
    <w:rsid w:val="031D51B0"/>
    <w:rsid w:val="06205F6B"/>
    <w:rsid w:val="07127832"/>
    <w:rsid w:val="0E647EF4"/>
    <w:rsid w:val="0F101AE8"/>
    <w:rsid w:val="10B85FB1"/>
    <w:rsid w:val="12F63DBA"/>
    <w:rsid w:val="16054941"/>
    <w:rsid w:val="16DC407B"/>
    <w:rsid w:val="173E0892"/>
    <w:rsid w:val="188260C7"/>
    <w:rsid w:val="19F83233"/>
    <w:rsid w:val="20370574"/>
    <w:rsid w:val="23D902C0"/>
    <w:rsid w:val="24575689"/>
    <w:rsid w:val="25E062B2"/>
    <w:rsid w:val="28F21A08"/>
    <w:rsid w:val="2DA91BAD"/>
    <w:rsid w:val="2FBC1EE1"/>
    <w:rsid w:val="30E20088"/>
    <w:rsid w:val="32E0684A"/>
    <w:rsid w:val="391F32D3"/>
    <w:rsid w:val="39D569DC"/>
    <w:rsid w:val="3A9834B4"/>
    <w:rsid w:val="3D08531B"/>
    <w:rsid w:val="3E9E0431"/>
    <w:rsid w:val="3F5A19B1"/>
    <w:rsid w:val="405D09DB"/>
    <w:rsid w:val="418A3570"/>
    <w:rsid w:val="42B47F7E"/>
    <w:rsid w:val="46CB1893"/>
    <w:rsid w:val="47283EBB"/>
    <w:rsid w:val="4AAE5753"/>
    <w:rsid w:val="4AD056CA"/>
    <w:rsid w:val="56207CEB"/>
    <w:rsid w:val="5BB26726"/>
    <w:rsid w:val="5DE96D9A"/>
    <w:rsid w:val="5F8B79B9"/>
    <w:rsid w:val="604E1113"/>
    <w:rsid w:val="60F82E2D"/>
    <w:rsid w:val="68792AA5"/>
    <w:rsid w:val="69D84B52"/>
    <w:rsid w:val="6CD62D60"/>
    <w:rsid w:val="6E3B6A4F"/>
    <w:rsid w:val="6F01059C"/>
    <w:rsid w:val="711209D1"/>
    <w:rsid w:val="741D06A5"/>
    <w:rsid w:val="76A35191"/>
    <w:rsid w:val="77866F31"/>
    <w:rsid w:val="7B0528FD"/>
    <w:rsid w:val="7B25698D"/>
    <w:rsid w:val="7C442225"/>
    <w:rsid w:val="7CD275C8"/>
    <w:rsid w:val="7E3B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4CA50DE-7EE0-4588-9D61-42C5C19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pPr>
      <w:ind w:firstLine="560"/>
    </w:pPr>
    <w:rPr>
      <w:rFonts w:ascii="Adobe 宋体 Std L" w:eastAsia="Adobe 宋体 Std L" w:hAnsi="Adobe 宋体 Std L"/>
      <w:szCs w:val="28"/>
    </w:rPr>
  </w:style>
  <w:style w:type="paragraph" w:styleId="a3">
    <w:name w:val="annotation text"/>
    <w:basedOn w:val="a"/>
    <w:autoRedefine/>
    <w:uiPriority w:val="99"/>
    <w:semiHidden/>
    <w:unhideWhenUsed/>
    <w:qFormat/>
    <w:pPr>
      <w:jc w:val="left"/>
    </w:pPr>
  </w:style>
  <w:style w:type="paragraph" w:styleId="a4">
    <w:name w:val="Body Text"/>
    <w:basedOn w:val="a"/>
    <w:autoRedefine/>
    <w:qFormat/>
    <w:pPr>
      <w:spacing w:line="720" w:lineRule="exact"/>
      <w:jc w:val="center"/>
    </w:pPr>
    <w:rPr>
      <w:rFonts w:eastAsia="华文中宋"/>
      <w:sz w:val="44"/>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DBFBD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170</Words>
  <Characters>969</Characters>
  <Application>Microsoft Office Word</Application>
  <DocSecurity>0</DocSecurity>
  <Lines>8</Lines>
  <Paragraphs>2</Paragraphs>
  <ScaleCrop>false</ScaleCrop>
  <Company>P R C</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绿色草原</dc:creator>
  <cp:lastModifiedBy>Windows User</cp:lastModifiedBy>
  <cp:revision>3</cp:revision>
  <cp:lastPrinted>2024-02-04T02:02:00Z</cp:lastPrinted>
  <dcterms:created xsi:type="dcterms:W3CDTF">2024-02-02T00:55:00Z</dcterms:created>
  <dcterms:modified xsi:type="dcterms:W3CDTF">2024-03-05T12:22:00Z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4EF3D14D95DD4A9F9E5B765AEADF2609_11</vt:lpwstr>
  </property>
</Properties>
</file>